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bs-20260630.htm"/>
      <w:bookmarkStart w:id="1" w:name="kssabs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transition period from ___________________ to ___________________</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001-39871</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SAB BIOTHERAPEUTICS,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85-3899721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60" w:after="15"/>
              <w:jc w:val="center"/>
              <w:rPr>
                <w:rFonts w:ascii="Times New Roman" w:hAnsi="Times New Roman"/>
                <w:sz w:val="18"/>
              </w:rPr>
            </w:pPr>
            <w:r>
              <w:rPr>
                <w:rFonts w:ascii="Times New Roman" w:hAnsi="Times New Roman"/>
                <w:b/>
                <w:color w:val="000000"/>
                <w:sz w:val="18"/>
              </w:rPr>
              <w:t>777 W 41</w:t>
            </w:r>
            <w:r>
              <w:rPr>
                <w:rFonts w:ascii="Times New Roman" w:hAnsi="Times New Roman"/>
                <w:b/>
                <w:color w:val="000000"/>
                <w:sz w:val="12"/>
              </w:rPr>
              <w:t>st</w:t>
            </w:r>
            <w:r>
              <w:rPr>
                <w:rFonts w:ascii="Times New Roman" w:hAnsi="Times New Roman"/>
                <w:color w:val="000000"/>
                <w:sz w:val="18"/>
              </w:rPr>
              <w:t xml:space="preserve"> </w:t>
            </w:r>
            <w:r>
              <w:rPr>
                <w:rFonts w:ascii="Times New Roman" w:hAnsi="Times New Roman"/>
                <w:b/>
                <w:color w:val="000000"/>
                <w:sz w:val="18"/>
              </w:rPr>
              <w:t>St, Suite 401</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Miami Beach, Florida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33140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Registrant’s telephone number, including area code: (305) 845-2813</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9475" w:type="dxa"/>
        <w:jc w:val="left"/>
        <w:tblInd w:w="0" w:type="dxa"/>
        <w:tblLayout w:type="fixed"/>
        <w:tblCellMar>
          <w:top w:w="28" w:type="dxa"/>
          <w:left w:w="28" w:type="dxa"/>
          <w:bottom w:w="28" w:type="dxa"/>
          <w:right w:w="28" w:type="dxa"/>
        </w:tblCellMar>
      </w:tblPr>
      <w:tblGrid>
        <w:gridCol w:w="5041"/>
        <w:gridCol w:w="146"/>
        <w:gridCol w:w="826"/>
        <w:gridCol w:w="146"/>
        <w:gridCol w:w="331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sz w:val="20"/>
              </w:rPr>
            </w:pPr>
            <w:r>
              <w:rPr>
                <w:rFonts w:ascii="Times New Roman" w:hAnsi="Times New Roman"/>
                <w:color w:val="000000"/>
                <w:sz w:val="18"/>
              </w:rPr>
              <w:t>The</w:t>
            </w:r>
            <w:r>
              <w:rPr>
                <w:rFonts w:ascii="Times New Roman" w:hAnsi="Times New Roman"/>
                <w:color w:val="000000"/>
                <w:sz w:val="20"/>
              </w:rPr>
              <w:t xml:space="preserve"> </w:t>
            </w: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Stock Market LLC</w:t>
            </w:r>
          </w:p>
        </w:tc>
      </w:tr>
      <w:tr>
        <w:trPr/>
        <w:tc>
          <w:tcPr>
            <w:tcW w:w="50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18"/>
              </w:rPr>
            </w:pPr>
            <w:r>
              <w:rPr>
                <w:rFonts w:ascii="Times New Roman" w:hAnsi="Times New Roman"/>
                <w:color w:val="000000"/>
                <w:sz w:val="18"/>
              </w:rPr>
              <w:t>Warrants, each exercisable for one share of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SABSW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3, 2026, the registrant had 90,986,368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hanges_in">
              <w:r>
                <w:rPr>
                  <w:rStyle w:val="InternetLink"/>
                  <w:rFonts w:ascii="Times New Roman" w:hAnsi="Times New Roman"/>
                  <w:color w:val="0000FF"/>
                  <w:sz w:val="20"/>
                  <w:u w:val="single"/>
                </w:rPr>
                <w:t>Condensed Consolidated Statements of Changes In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Condensed Consolidated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SAB Biotherapeutics,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0"/>
        <w:gridCol w:w="146"/>
        <w:gridCol w:w="196"/>
        <w:gridCol w:w="751"/>
        <w:gridCol w:w="166"/>
        <w:gridCol w:w="146"/>
        <w:gridCol w:w="206"/>
        <w:gridCol w:w="792"/>
        <w:gridCol w:w="412"/>
      </w:tblGrid>
      <w:tr>
        <w:trPr/>
        <w:tc>
          <w:tcPr>
            <w:tcW w:w="7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86,090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101,053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prepaid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46,893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172,810</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21,315</w:t>
            </w:r>
          </w:p>
        </w:tc>
        <w:tc>
          <w:tcPr>
            <w:tcW w:w="4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Series A 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28,380</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Series B Preferred stock; $0.0001</w:t>
            </w:r>
            <w:r>
              <w:rPr>
                <w:rFonts w:ascii="Times New Roman" w:hAnsi="Times New Roman"/>
                <w:color w:val="000000"/>
                <w:sz w:val="20"/>
              </w:rPr>
              <w:t> </w:t>
            </w:r>
            <w:r>
              <w:rPr>
                <w:rFonts w:ascii="Times New Roman" w:hAnsi="Times New Roman"/>
                <w:color w:val="000000"/>
                <w:sz w:val="18"/>
              </w:rPr>
              <w:t>par value; 2,928,570</w:t>
            </w:r>
            <w:r>
              <w:rPr>
                <w:rFonts w:ascii="Times New Roman" w:hAnsi="Times New Roman"/>
                <w:color w:val="000000"/>
                <w:sz w:val="20"/>
              </w:rPr>
              <w:t> </w:t>
            </w:r>
            <w:r>
              <w:rPr>
                <w:rFonts w:ascii="Times New Roman" w:hAnsi="Times New Roman"/>
                <w:color w:val="000000"/>
                <w:sz w:val="18"/>
              </w:rPr>
              <w:t>shares authorized, 522,629</w:t>
            </w:r>
            <w:r>
              <w:rPr>
                <w:rFonts w:ascii="Times New Roman" w:hAnsi="Times New Roman"/>
                <w:color w:val="000000"/>
                <w:sz w:val="20"/>
              </w:rPr>
              <w:t> </w:t>
            </w:r>
            <w:r>
              <w:rPr>
                <w:rFonts w:ascii="Times New Roman" w:hAnsi="Times New Roman"/>
                <w:color w:val="000000"/>
                <w:sz w:val="18"/>
              </w:rPr>
              <w:t>shares issued and outstanding at June 30, 2026 and 638,558</w:t>
            </w:r>
            <w:r>
              <w:rPr>
                <w:rFonts w:ascii="Times New Roman" w:hAnsi="Times New Roman"/>
                <w:color w:val="000000"/>
                <w:sz w:val="20"/>
              </w:rPr>
              <w:t> </w:t>
            </w:r>
            <w:r>
              <w:rPr>
                <w:rFonts w:ascii="Times New Roman" w:hAnsi="Times New Roman"/>
                <w:color w:val="000000"/>
                <w:sz w:val="18"/>
              </w:rPr>
              <w:t>shares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800,000,000</w:t>
            </w:r>
            <w:r>
              <w:rPr>
                <w:rFonts w:ascii="Times New Roman" w:hAnsi="Times New Roman"/>
                <w:color w:val="000000"/>
                <w:sz w:val="20"/>
              </w:rPr>
              <w:t> </w:t>
            </w:r>
            <w:r>
              <w:rPr>
                <w:rFonts w:ascii="Times New Roman" w:hAnsi="Times New Roman"/>
                <w:color w:val="000000"/>
                <w:sz w:val="18"/>
              </w:rPr>
              <w:t>shares authorized at June 30, 2026 and December 31, 2025; 83,547,733</w:t>
            </w:r>
            <w:r>
              <w:rPr>
                <w:rFonts w:ascii="Times New Roman" w:hAnsi="Times New Roman"/>
                <w:color w:val="000000"/>
                <w:sz w:val="20"/>
              </w:rPr>
              <w:t> </w:t>
            </w:r>
            <w:r>
              <w:rPr>
                <w:rFonts w:ascii="Times New Roman" w:hAnsi="Times New Roman"/>
                <w:color w:val="000000"/>
                <w:sz w:val="18"/>
              </w:rPr>
              <w:t>and 47,664,564</w:t>
            </w:r>
            <w:r>
              <w:rPr>
                <w:rFonts w:ascii="Times New Roman" w:hAnsi="Times New Roman"/>
                <w:color w:val="000000"/>
                <w:sz w:val="20"/>
              </w:rPr>
              <w:t> </w:t>
            </w:r>
            <w:r>
              <w:rPr>
                <w:rFonts w:ascii="Times New Roman" w:hAnsi="Times New Roman"/>
                <w:color w:val="000000"/>
                <w:sz w:val="18"/>
              </w:rPr>
              <w:t>shares issued at June 30, 2026 and December 31, 2025, respectively, and 83,493,068</w:t>
            </w:r>
            <w:r>
              <w:rPr>
                <w:rFonts w:ascii="Times New Roman" w:hAnsi="Times New Roman"/>
                <w:color w:val="000000"/>
                <w:sz w:val="20"/>
              </w:rPr>
              <w:t> </w:t>
            </w:r>
            <w:r>
              <w:rPr>
                <w:rFonts w:ascii="Times New Roman" w:hAnsi="Times New Roman"/>
                <w:color w:val="000000"/>
                <w:sz w:val="18"/>
              </w:rPr>
              <w:t>and 47,609,899</w:t>
            </w:r>
            <w:r>
              <w:rPr>
                <w:rFonts w:ascii="Times New Roman" w:hAnsi="Times New Roman"/>
                <w:color w:val="000000"/>
                <w:sz w:val="20"/>
              </w:rPr>
              <w:t> </w:t>
            </w:r>
            <w:r>
              <w:rPr>
                <w:rFonts w:ascii="Times New Roman" w:hAnsi="Times New Roman"/>
                <w:color w:val="000000"/>
                <w:sz w:val="18"/>
              </w:rPr>
              <w:t>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 at cost; 54,665</w:t>
            </w:r>
            <w:r>
              <w:rPr>
                <w:rFonts w:ascii="Times New Roman" w:hAnsi="Times New Roman"/>
                <w:color w:val="000000"/>
                <w:sz w:val="20"/>
              </w:rPr>
              <w:t> </w:t>
            </w:r>
            <w:r>
              <w:rPr>
                <w:rFonts w:ascii="Times New Roman" w:hAnsi="Times New Roman"/>
                <w:color w:val="000000"/>
                <w:sz w:val="18"/>
              </w:rPr>
              <w:t>shares held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267,719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(110,895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172,810</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SAB Biotherapeutics, Inc. and Subsidiaries</w:t>
      </w:r>
      <w:r>
        <w:rPr>
          <w:rFonts w:ascii="Times New Roman" w:hAnsi="Times New Roman"/>
          <w:color w:val="000000"/>
          <w:sz w:val="20"/>
        </w:rPr>
        <w:t xml:space="preserve"> </w:t>
      </w:r>
    </w:p>
    <w:p>
      <w:pPr>
        <w:pStyle w:val="TextBody"/>
        <w:bidi w:val="0"/>
        <w:jc w:val="left"/>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and Comprehensive Loss</w:t>
      </w:r>
    </w:p>
    <w:p>
      <w:pPr>
        <w:pStyle w:val="TextBody"/>
        <w:bidi w:val="0"/>
        <w:jc w:val="left"/>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8"/>
        <w:gridCol w:w="146"/>
        <w:gridCol w:w="218"/>
        <w:gridCol w:w="1022"/>
        <w:gridCol w:w="184"/>
        <w:gridCol w:w="162"/>
        <w:gridCol w:w="218"/>
        <w:gridCol w:w="921"/>
        <w:gridCol w:w="166"/>
        <w:gridCol w:w="146"/>
        <w:gridCol w:w="211"/>
        <w:gridCol w:w="988"/>
        <w:gridCol w:w="178"/>
        <w:gridCol w:w="157"/>
        <w:gridCol w:w="211"/>
        <w:gridCol w:w="891"/>
        <w:gridCol w:w="418"/>
      </w:tblGrid>
      <w:tr>
        <w:trPr/>
        <w:tc>
          <w:tcPr>
            <w:tcW w:w="3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14,654</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5,850</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23,377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(23,377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4,409</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w:t>
            </w:r>
          </w:p>
        </w:tc>
        <w:tc>
          <w:tcPr>
            <w:tcW w:w="4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(41,360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(15,311</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change in fair value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Reclassification adjustment for gain on sale of available-for-sale securities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(23,198</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(42,477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(15,192</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common share attributable to the Company’s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79,753,100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9,294,469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66,768,309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9,293,018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SAB Biotherapeutics,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bookmarkStart w:id="6" w:name="consolidated_statements_of_changes_in"/>
      <w:bookmarkEnd w:id="6"/>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spacing w:before="0" w:after="60"/>
        <w:jc w:val="left"/>
        <w:rPr>
          <w:rFonts w:ascii="Times New Roman" w:hAnsi="Times New Roman"/>
          <w:b/>
          <w:color w:val="000000"/>
          <w:sz w:val="20"/>
        </w:rPr>
      </w:pPr>
      <w:r>
        <w:rPr>
          <w:rFonts w:ascii="Times New Roman" w:hAnsi="Times New Roman"/>
          <w:b/>
          <w:color w:val="000000"/>
          <w:sz w:val="20"/>
        </w:rPr>
        <w:t>(Unaudited)</w:t>
      </w:r>
    </w:p>
    <w:tbl>
      <w:tblPr>
        <w:tblW w:w="12596" w:type="dxa"/>
        <w:jc w:val="left"/>
        <w:tblInd w:w="0" w:type="dxa"/>
        <w:tblLayout w:type="fixed"/>
        <w:tblCellMar>
          <w:top w:w="28" w:type="dxa"/>
          <w:left w:w="28" w:type="dxa"/>
          <w:bottom w:w="28" w:type="dxa"/>
          <w:right w:w="28" w:type="dxa"/>
        </w:tblCellMar>
      </w:tblPr>
      <w:tblGrid>
        <w:gridCol w:w="1126"/>
        <w:gridCol w:w="146"/>
        <w:gridCol w:w="146"/>
        <w:gridCol w:w="796"/>
        <w:gridCol w:w="146"/>
        <w:gridCol w:w="216"/>
        <w:gridCol w:w="415"/>
        <w:gridCol w:w="146"/>
        <w:gridCol w:w="146"/>
        <w:gridCol w:w="601"/>
        <w:gridCol w:w="151"/>
        <w:gridCol w:w="216"/>
        <w:gridCol w:w="415"/>
        <w:gridCol w:w="146"/>
        <w:gridCol w:w="146"/>
        <w:gridCol w:w="526"/>
        <w:gridCol w:w="146"/>
        <w:gridCol w:w="224"/>
        <w:gridCol w:w="407"/>
        <w:gridCol w:w="146"/>
        <w:gridCol w:w="187"/>
        <w:gridCol w:w="624"/>
        <w:gridCol w:w="151"/>
        <w:gridCol w:w="146"/>
        <w:gridCol w:w="571"/>
        <w:gridCol w:w="151"/>
        <w:gridCol w:w="181"/>
        <w:gridCol w:w="496"/>
        <w:gridCol w:w="151"/>
        <w:gridCol w:w="207"/>
        <w:gridCol w:w="739"/>
        <w:gridCol w:w="151"/>
        <w:gridCol w:w="356"/>
        <w:gridCol w:w="740"/>
        <w:gridCol w:w="151"/>
        <w:gridCol w:w="229"/>
        <w:gridCol w:w="762"/>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B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47,664,564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638,558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267,719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(54,665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(5,521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(110,895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151,495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for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of taxes withheld on issuance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Series B Preferred Stock into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6,767,900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(67,679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Enrollment Date Warrants into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and prefunded warrants under the March 2026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19,324,677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the March 2026 Public Offering Underwriters' Option,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change in fair value of available-for-sale securities, net of reclassification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75,799,241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587,879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362,748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(54,665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(5,521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(129,764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227,248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for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pursuant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of taxes withheld on issuance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Series B Preferred Stock into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(70,350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Enrollment Date Warrants into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Release Date Warrants into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the March 2026 Public Offering Underwriters' Option,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as consideration for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change in fair value of available-for-sale securities, net of reclassification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83,547,733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522,629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373,483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(54,665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(5,521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(152,255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214,785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SAB Biotherapeutics,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(Unaudited)</w:t>
      </w:r>
    </w:p>
    <w:tbl>
      <w:tblPr>
        <w:tblW w:w="15484" w:type="dxa"/>
        <w:jc w:val="left"/>
        <w:tblInd w:w="0" w:type="dxa"/>
        <w:tblLayout w:type="fixed"/>
        <w:tblCellMar>
          <w:top w:w="28" w:type="dxa"/>
          <w:left w:w="28" w:type="dxa"/>
          <w:bottom w:w="28" w:type="dxa"/>
          <w:right w:w="28" w:type="dxa"/>
        </w:tblCellMar>
      </w:tblPr>
      <w:tblGrid>
        <w:gridCol w:w="1321"/>
        <w:gridCol w:w="146"/>
        <w:gridCol w:w="146"/>
        <w:gridCol w:w="146"/>
        <w:gridCol w:w="826"/>
        <w:gridCol w:w="146"/>
        <w:gridCol w:w="146"/>
        <w:gridCol w:w="249"/>
        <w:gridCol w:w="442"/>
        <w:gridCol w:w="146"/>
        <w:gridCol w:w="146"/>
        <w:gridCol w:w="146"/>
        <w:gridCol w:w="206"/>
        <w:gridCol w:w="380"/>
        <w:gridCol w:w="146"/>
        <w:gridCol w:w="146"/>
        <w:gridCol w:w="277"/>
        <w:gridCol w:w="414"/>
        <w:gridCol w:w="146"/>
        <w:gridCol w:w="146"/>
        <w:gridCol w:w="146"/>
        <w:gridCol w:w="601"/>
        <w:gridCol w:w="146"/>
        <w:gridCol w:w="146"/>
        <w:gridCol w:w="249"/>
        <w:gridCol w:w="442"/>
        <w:gridCol w:w="146"/>
        <w:gridCol w:w="146"/>
        <w:gridCol w:w="196"/>
        <w:gridCol w:w="691"/>
        <w:gridCol w:w="166"/>
        <w:gridCol w:w="146"/>
        <w:gridCol w:w="146"/>
        <w:gridCol w:w="661"/>
        <w:gridCol w:w="166"/>
        <w:gridCol w:w="146"/>
        <w:gridCol w:w="196"/>
        <w:gridCol w:w="571"/>
        <w:gridCol w:w="166"/>
        <w:gridCol w:w="146"/>
        <w:gridCol w:w="217"/>
        <w:gridCol w:w="834"/>
        <w:gridCol w:w="166"/>
        <w:gridCol w:w="146"/>
        <w:gridCol w:w="377"/>
        <w:gridCol w:w="839"/>
        <w:gridCol w:w="166"/>
        <w:gridCol w:w="146"/>
        <w:gridCol w:w="250"/>
        <w:gridCol w:w="846"/>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 Preferred Stock</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9,343,533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taxes withheld on 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change in fair value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9,346,362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change in fair value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9,346,362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157,032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12,016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SAB Biotherapeutics,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bookmarkStart w:id="7" w:name="consolidated_statements_of_cash_flows"/>
      <w:bookmarkEnd w:id="7"/>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tbl>
      <w:tblPr>
        <w:tblW w:w="9877" w:type="dxa"/>
        <w:jc w:val="left"/>
        <w:tblInd w:w="0" w:type="dxa"/>
        <w:tblLayout w:type="fixed"/>
        <w:tblCellMar>
          <w:top w:w="28" w:type="dxa"/>
          <w:left w:w="28" w:type="dxa"/>
          <w:bottom w:w="28" w:type="dxa"/>
          <w:right w:w="28" w:type="dxa"/>
        </w:tblCellMar>
      </w:tblPr>
      <w:tblGrid>
        <w:gridCol w:w="6986"/>
        <w:gridCol w:w="146"/>
        <w:gridCol w:w="207"/>
        <w:gridCol w:w="793"/>
        <w:gridCol w:w="175"/>
        <w:gridCol w:w="154"/>
        <w:gridCol w:w="207"/>
        <w:gridCol w:w="698"/>
        <w:gridCol w:w="511"/>
      </w:tblGrid>
      <w:tr>
        <w:trPr/>
        <w:tc>
          <w:tcPr>
            <w:tcW w:w="6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(41,360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Amortization of finance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Changes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non-cash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right-of-use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(24,112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(14,950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sale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(152,275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84,310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(70,531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9,869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March 2026 Public Offering and Underwriters' Option,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88,697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exercised Enrollment Date and Release Date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Principal payments on financed director and officer insurance and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Tax payments for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92,285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information on non-cash investing and finance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Right-of-use asset written off due to early and partial termination of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liability written off due to early and partial termination of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receivable from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SAb Biotherapeutics, Inc. and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8" w:name="notes_to_consolidated_financial"/>
      <w:bookmarkEnd w:id="8"/>
      <w:r>
        <w:rPr>
          <w:rFonts w:ascii="Times New Roman" w:hAnsi="Times New Roman"/>
          <w:b/>
          <w:caps/>
          <w:color w:val="000000"/>
          <w:sz w:val="20"/>
        </w:rPr>
        <w:t>Notes to condensed consolidated FINANCIAL statements</w:t>
      </w:r>
      <w:r>
        <w:rPr>
          <w:rFonts w:ascii="Times New Roman" w:hAnsi="Times New Roman"/>
          <w:caps/>
          <w:color w:val="000000"/>
          <w:sz w:val="20"/>
        </w:rPr>
        <w:t xml:space="preserve"> </w:t>
      </w:r>
      <w:r>
        <w:rPr>
          <w:rFonts w:ascii="Times New Roman" w:hAnsi="Times New Roman"/>
          <w:b/>
          <w:caps/>
          <w:color w:val="000000"/>
          <w:sz w:val="20"/>
        </w:rPr>
        <w:t>(Unaudited)</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(1) Nature of Business and Liquidity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SAB Biotherapeutics, Inc., a Delaware corporation (“SAB”, “SAB Biotherapeutics” or “SAB BIO”, and together with its subsidiaries, the “Company”), is a clinical-stage biopharmaceutical company focused on developing multi-specific, high-potency, human immunoglobulin G (hIgG) to treat and prevent immune and autoimmune disorders. Using advanced genetic engineering and antibody science, SAB BIO developed a proprietary technology which holds the potential to generate additional novel therapeutic candidates utilizing the human immune response, without the need for human donors or convalescent plasma. SAB BIO has optimized genetic engineering in the development of transchromosomic cattle, or Tc-Bovine, to produce hIgG. SAB BIO's drug development production system is able to generate a diverse repertoire of specifically targeted, high-potency, hIgGs that can address a wide range of serious unmet needs in human diseases. The Company's lead candidate, SAB-142, targets autoimmune type 1 diabetes (“T1D”) with a disease-modifying therapeutic approach that aims to change the T1D treatment paradigm by delaying onset and potentially preventing disease progression of Stage 3 T1D patients. SAB-142 is currently being evaluated in newly diagnosed Stage 3 autoimmune T1D patients in a registrational Phase 2b clinical trial called SAFEGUARD.</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Liquidity</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had an accumulated deficit of $152.3 million. The Company anticipates that it will continue to generate losses for the foreseeable future and expects the losses to increase as the Company funds product development, regulatory approval efforts, clinical trials, and commercial readiness activities, and will require additional capital to support its long-term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Company’s current level of operating expenses, existing resources will be sufficient to cover operating cash needs through at least the twelve months following the date of this report. In the future, the Company may seek additional funding through a combination of equity or debt financings, or other third-party financing, collaborative or other funding arrangements.</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(2) Summary of Significant Accounting Policies</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significant accounting policies applied in preparation of the accompanying condensed consolidated financial statements is set forth below. </w:t>
      </w:r>
    </w:p>
    <w:p>
      <w:pPr>
        <w:pStyle w:val="TextBody"/>
        <w:bidi w:val="0"/>
        <w:spacing w:before="240" w:after="24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generally accepted accounting principles accepted in the United States of America (“GAAP”) for interim financial statements and the rules of the Securities and Exchange Commission (“SEC”) applicable to interim financial statements.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The accompanying unaudited condensed consolidated financial statements have been prepared by management without audit and should be read in conjunction with our audited consolidated financial statements, including the notes thereto, appearing in our Annual Report on Form 10-K for the fiscal year ended December 31, 2025. In the opinion of management, all adjustments necessary for a fair presentation of the consolidated financial position, consolidated results of operations and other comprehensive loss and consolidated cash flows, for the periods indicated, have been made. The results of operations for the three months ended June 30, 2026 are not necessarily indicative of operating results that may be achieved over the course of the full year.</w:t>
      </w:r>
    </w:p>
    <w:p>
      <w:pPr>
        <w:pStyle w:val="TextBody"/>
        <w:bidi w:val="0"/>
        <w:spacing w:before="80" w:after="240"/>
        <w:jc w:val="left"/>
        <w:rPr>
          <w:rFonts w:ascii="Times New Roman" w:hAnsi="Times New Roman"/>
          <w:sz w:val="20"/>
        </w:rPr>
      </w:pPr>
      <w:r>
        <w:rPr>
          <w:rFonts w:ascii="Times New Roman" w:hAnsi="Times New Roman"/>
          <w:b/>
          <w:i/>
          <w:color w:val="000000"/>
          <w:sz w:val="20"/>
        </w:rPr>
        <w:t>Emerging growth company status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240" w:after="24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accompanying condensed consolidated financial statements include the results of the Company and its wholly owned subsidiaries, SAB Sciences, Inc., Diversity Therapeutics, Inc., SAB LLC, SAB Capra, LLC, Aurochs, LLC, and SAB BIO PTY LTD (“SAB Australia”). Intercompany balances and transactions have been eliminated in consolidation.</w:t>
      </w:r>
    </w:p>
    <w:p>
      <w:pPr>
        <w:pStyle w:val="TextBody"/>
        <w:bidi w:val="0"/>
        <w:spacing w:before="240" w:after="240"/>
        <w:jc w:val="left"/>
        <w:rPr>
          <w:rFonts w:ascii="Times New Roman" w:hAnsi="Times New Roman"/>
          <w:sz w:val="20"/>
        </w:rPr>
      </w:pPr>
      <w:r>
        <w:rPr>
          <w:rFonts w:ascii="Times New Roman" w:hAnsi="Times New Roman"/>
          <w:b/>
          <w:i/>
          <w:color w:val="000000"/>
          <w:sz w:val="20"/>
        </w:rPr>
        <w:t>Significant risks and uncertainties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operations are subject to a number of factors that can affect its operating results and financial condition. Such factors include, but are not limited to, the results of research and development efforts, clinical trial activities of the Company’s product candidates, the Company’s ability to obtain regulatory approval to market its product candidates, competition from products manufactured and sold or being developed by other companies, and the Company’s ability to raise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key employees and obtaining and protecting intellectual property. </w:t>
      </w:r>
    </w:p>
    <w:p>
      <w:pPr>
        <w:pStyle w:val="TextBody"/>
        <w:bidi w:val="0"/>
        <w:spacing w:before="240" w:after="24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liabilities, revenue and expenses and the disclosure of contingent assets and liabilities in the financial statements. The Company has used significant estimates in its determination of stock-based compensation assumptions, determination of the fair value of the Private Placement Warrant liabilities, determination of the incremental borrowing rate (“IBR”) used in the calculation of the Company’s right of use assets and lease liabilities, estimation of clinical and other accruals and the valuation allowance on deferred tax assets. Actual amounts realized may differ from these estimates. </w:t>
      </w:r>
    </w:p>
    <w:p>
      <w:pPr>
        <w:pStyle w:val="TextBody"/>
        <w:bidi w:val="0"/>
        <w:spacing w:before="240" w:after="240"/>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that would be used to measure fair value into one of three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Unadjusted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reflect the reporting entity’s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the Company’s financial instruments are not measured at fair value on a recurring basis but are recorded at amounts that approximate their fair value due to the short-term nature of their maturities, such as cash and cash equivalents, accrued interest receivable, accounts payable, accrued expenses and other current liabilities.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warrants to purchase its common stock par value of $0.0001 per share (its “common stock”) pursuant to Accounting Standards Codification (“ASC”) Topic 470, </w:t>
      </w:r>
      <w:r>
        <w:rPr>
          <w:rFonts w:ascii="Times New Roman" w:hAnsi="Times New Roman"/>
          <w:i/>
          <w:color w:val="000000"/>
          <w:sz w:val="20"/>
        </w:rPr>
        <w:t xml:space="preserve">Debt </w:t>
      </w:r>
      <w:r>
        <w:rPr>
          <w:rFonts w:ascii="Times New Roman" w:hAnsi="Times New Roman"/>
          <w:color w:val="000000"/>
          <w:sz w:val="20"/>
        </w:rPr>
        <w:t xml:space="preserve">(“ASC 470”), and ASC Topic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classifies warrants for common stock as liabilities or equity. The warrants classified as liabilities are reported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at their estimated fair value (see Note 11, </w:t>
      </w:r>
      <w:r>
        <w:rPr>
          <w:rFonts w:ascii="Times New Roman" w:hAnsi="Times New Roman"/>
          <w:i/>
          <w:color w:val="000000"/>
          <w:sz w:val="20"/>
        </w:rPr>
        <w:t>Fair Value Measurements</w:t>
      </w:r>
      <w:r>
        <w:rPr>
          <w:rFonts w:ascii="Times New Roman" w:hAnsi="Times New Roman"/>
          <w:color w:val="000000"/>
          <w:sz w:val="20"/>
        </w:rPr>
        <w:t xml:space="preserve">) and any changes in fair value are reflected in other income (expense). The warrants classified as equity are reported at their estimated relative fair value with no subsequent remeasurement. The Company’s outstanding warrants are discussed in more detail in Note 10, </w:t>
      </w:r>
      <w:r>
        <w:rPr>
          <w:rFonts w:ascii="Times New Roman" w:hAnsi="Times New Roman"/>
          <w:i/>
          <w:color w:val="000000"/>
          <w:sz w:val="20"/>
        </w:rPr>
        <w:t>Warrants</w:t>
      </w:r>
      <w:r>
        <w:rPr>
          <w:rFonts w:ascii="Times New Roman" w:hAnsi="Times New Roman"/>
          <w:color w:val="000000"/>
          <w:sz w:val="20"/>
        </w:rPr>
        <w:t>.</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Deferred Issuance Costs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in shareholders’ equity as a reduction of additional paid-in capital generated as a result of the issuance.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did not have any deferred issuance costs as of June 30, 2026. As of December 31, 2025, the Company had $0.2 million of deferred issuance costs, related to the Company’s sales agreement with UBS Securities LLC. The sales agreement is discussed further in Note 8, </w:t>
      </w:r>
      <w:r>
        <w:rPr>
          <w:rFonts w:ascii="Times New Roman" w:hAnsi="Times New Roman"/>
          <w:i/>
          <w:color w:val="000000"/>
          <w:sz w:val="20"/>
        </w:rPr>
        <w:t>Stockholders’ Equity</w:t>
      </w:r>
      <w:r>
        <w:rPr>
          <w:rFonts w:ascii="Times New Roman" w:hAnsi="Times New Roman"/>
          <w:color w:val="000000"/>
          <w:sz w:val="20"/>
        </w:rPr>
        <w:t xml:space="preserv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Short-term and long-term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accounts for investments in accordance with ASC Topic 320, Investments - Debt and Equity Securities. Management determines the appropriate classification of its investments at the time of purchase and reevaluates such determinations at each reporting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June 30, 2026, the Company’s short-term and long-term investments consisted of U.S. treasury securities with original maturity exceeding 90 days, and investments in exchange traded mutual funds. The Company classifies these securities as current and non-current. The Company considers all of its securities for which there is a determinable fair market value, and there are no restrictions on the Company’s ability to sell within the next twelve months, as available-for-sale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recognizes the change in fair value of available-for-sale equity securities within other income in the condensed consolidated statements of operations and comprehensive loss, and available-for-sale debt securities are measured at fair value with unrealized gains and losses reported in accumulated other comprehensive income (loss) in the condensed consolidated balance sheets.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reviews its investments at each reporting date to identify and evaluate whether a decline in fair value below the amortized cost basis of available-for-sale debt securities is due to credit-related factors and determines if such unrealized losses are the result of credit losses that require impairment. The Company records an allowance for credit losses on available-for-sale debt securities when a decline in fair value is determined to be credit-related, rather than recording a direct write-down of the investment's amortized cost. Factors considered in determining whether an unrealized loss is the result of credit-related factors include the extent to which the fair value is less than the cost basis, any changes to the rating of the security by a rating agency, the financial condition and near-term prospects of the issuer, any historical failure of the issuer to make scheduled interest or principal payments, any adverse legal or regulatory events affecting the issuer or issuer’s industry, any significant deterioration in economic condition and the Company’s intent and ability to hold the investment for a period of time sufficient to allow for any anticipated recovery in market value.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did not recognize any credit losses on its short-term and long-term investments during the three and six months ended June 30, 2026 and 2025.</w:t>
      </w:r>
    </w:p>
    <w:p>
      <w:pPr>
        <w:pStyle w:val="TextBody"/>
        <w:bidi w:val="0"/>
        <w:spacing w:before="120" w:after="240"/>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maintains its cash and cash equivalent balances in the form of business checking accounts and money market accounts, the balances of which, at times, may exceed federally insured limits. Although the Company currently believes that the financial institutions with whom it does business will be able to fulfill their commitments to the Company, there is no assurance that those institutions will be able to continue to do so. The Company has not experienced any credit losses associated with its balances in such accounts for the three and six months ended June 30, 2026 and 2025.</w:t>
      </w:r>
    </w:p>
    <w:p>
      <w:pPr>
        <w:pStyle w:val="TextBody"/>
        <w:bidi w:val="0"/>
        <w:spacing w:before="240" w:after="240"/>
        <w:jc w:val="left"/>
        <w:rPr>
          <w:rFonts w:ascii="Times New Roman" w:hAnsi="Times New Roman"/>
          <w:sz w:val="20"/>
        </w:rPr>
      </w:pPr>
      <w:r>
        <w:rPr>
          <w:rFonts w:ascii="Times New Roman" w:hAnsi="Times New Roman"/>
          <w:b/>
          <w:i/>
          <w:color w:val="000000"/>
          <w:sz w:val="20"/>
        </w:rPr>
        <w:t>Lease liabilities and right-of-use assets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The Company is party to certain contractual arrangements for equipment, lab space, and an animal facility, which meet the definition of leases under Financial Accounting Standards Board (“FASB”) ASC Topic 842, </w:t>
      </w:r>
      <w:r>
        <w:rPr>
          <w:rFonts w:ascii="Times New Roman" w:hAnsi="Times New Roman"/>
          <w:i/>
          <w:color w:val="000000"/>
          <w:sz w:val="20"/>
        </w:rPr>
        <w:t xml:space="preserve">Leases </w:t>
      </w:r>
      <w:r>
        <w:rPr>
          <w:rFonts w:ascii="Times New Roman" w:hAnsi="Times New Roman"/>
          <w:color w:val="000000"/>
          <w:sz w:val="20"/>
        </w:rPr>
        <w:t>(“ASC 842”). In accordance with ASC 842, the Company recorded right-of-use assets and related lease liabilities for the present value of the lease payments over the lease terms. The Company’s IBR was used in the calculation of its right-of-use assets and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not to apply the recognition requirements of ASC 842 to short-term leases, which are deemed to be leases with a lease term of twelve months or less. Instead, the Company recognizes lease payments in the condensed consolidated statements of operations and comprehensive loss on a straight-line basis over the lease term and variable payments in the period in which the obligation for these payments was incurred. The Company elected this policy for all classes of underlying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Expenses incurred in connection with research and development activities are expensed as incurred. These include fees paid to consultants and various entities that perform certain research and testing on behalf of the Company, and expenses related to animal care, research-use equipment depreciation, salaries, benefits, and stock-based compensation granted to employees in research and development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and 2025, the Company had contracts with multiple contract research organizations (“CRO”) to complete studies as part of research grant agreements. These costs include upfront, milestone and monthly expenses as well as reimbursement for pass through costs. All research and development costs are expensed as incurred except when the Company is accounting for refundable advance payments for goods or services to be used in future research and development activities. In these cases, these payments are capitalized at the time of payment and expensed in the period the research and development activity is performed. As actual costs become known, the Company will adjust the accrual; such changes in estimate may result in material changes in the Company’s clinical study accrual, which could also materially affect reported results of operations. For the three and six months ended June 30, 2026 and 2025, there were no material adjustments to the Company’s prior period estimates of accrued expenses for clinical trials.</w:t>
      </w:r>
    </w:p>
    <w:p>
      <w:pPr>
        <w:pStyle w:val="TextBody"/>
        <w:bidi w:val="0"/>
        <w:spacing w:before="240" w:after="240"/>
        <w:jc w:val="left"/>
        <w:rPr>
          <w:rFonts w:ascii="Times New Roman" w:hAnsi="Times New Roman"/>
          <w:sz w:val="20"/>
        </w:rPr>
      </w:pPr>
      <w:r>
        <w:rPr>
          <w:rFonts w:ascii="Times New Roman" w:hAnsi="Times New Roman"/>
          <w:b/>
          <w:i/>
          <w:color w:val="000000"/>
          <w:sz w:val="20"/>
        </w:rPr>
        <w:t>Property, Plant and Equipment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records property, plant, and equipment at cost less depreciation and amortization. Depreciation is calculated using straight-line methods over the estimated useful lives. Repairs and maintenance expenses are expensed as incurred. </w:t>
      </w:r>
    </w:p>
    <w:p>
      <w:pPr>
        <w:pStyle w:val="TextBody"/>
        <w:bidi w:val="0"/>
        <w:spacing w:before="0" w:after="240"/>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reviews the recoverability of long-lived assets, including the related useful lives, whenever events or changes in circumstances indicate that the carrying amount of a long-lived asset may not be recoverable. If necessary,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long-lived assets are recoverable, and no impairment was deemed necessary, during the three and six months ended June 30, 2026 and 2025.</w:t>
      </w:r>
    </w:p>
    <w:p>
      <w:pPr>
        <w:pStyle w:val="TextBody"/>
        <w:bidi w:val="0"/>
        <w:spacing w:before="240" w:after="240"/>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FASB ASC Topic 718, </w:t>
      </w:r>
      <w:r>
        <w:rPr>
          <w:rFonts w:ascii="Times New Roman" w:hAnsi="Times New Roman"/>
          <w:i/>
          <w:color w:val="000000"/>
          <w:sz w:val="20"/>
        </w:rPr>
        <w:t>Compensation</w:t>
      </w:r>
      <w:r>
        <w:rPr>
          <w:rFonts w:ascii="Times New Roman" w:hAnsi="Times New Roman"/>
          <w:color w:val="000000"/>
          <w:sz w:val="20"/>
        </w:rPr>
        <w:t xml:space="preserve">– </w:t>
      </w:r>
      <w:r>
        <w:rPr>
          <w:rFonts w:ascii="Times New Roman" w:hAnsi="Times New Roman"/>
          <w:i/>
          <w:color w:val="000000"/>
          <w:sz w:val="20"/>
        </w:rPr>
        <w:t>Stock Compensation</w:t>
      </w:r>
      <w:r>
        <w:rPr>
          <w:rFonts w:ascii="Times New Roman" w:hAnsi="Times New Roman"/>
          <w:color w:val="000000"/>
          <w:sz w:val="20"/>
        </w:rPr>
        <w:t>, prescribes accounting and reporting standards for all share-based payment transactions in which employee and non-employee services are acquired. The Company recognizes compensation cost relating to stock-based payment transactions using a fair-value measurement method, which requires all stock-based payments to employees, directors, and non-employee consultants, including grants of stock options, to be recognized in operating results as compensation expense based on fair value over the requisite service period of the awards. The Company determines the fair value of common stock based on the closing market price on the date of the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the fair value of stock-based awards, the Company utilizes the Black-Scholes option-pricing model, which uses both historical and current market data to estimate fair value. The Black-Scholes option-pricing model incorporates various assumptions, such as the value of the underlying common stock, the risk-free interest rate, expected volatility, expected dividend yield, and expected life of the options. For awards with performance-based vesting criteria, the Company estimates the probability of achievement of the performance criteria and recognizes compensation expense related to those awards expected to vest. No awards may have a term in excess of ten years. Forfeitures are recorded when they occur. Stock-based compensation expense is classified in the condensed consolidated statements of operations based on the function to which the related services are provided. The Company recognizes stock-based compensation expense over the vesting period.</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expected term of the stock options was estimated using the “simplified” method, as defined by the SEC’s Staff Accounting Bulletin No. 107, </w:t>
      </w:r>
      <w:r>
        <w:rPr>
          <w:rFonts w:ascii="Times New Roman" w:hAnsi="Times New Roman"/>
          <w:i/>
          <w:color w:val="000000"/>
          <w:sz w:val="20"/>
        </w:rPr>
        <w:t>Share-Based Payment</w:t>
      </w:r>
      <w:r>
        <w:rPr>
          <w:rFonts w:ascii="Times New Roman" w:hAnsi="Times New Roman"/>
          <w:color w:val="000000"/>
          <w:sz w:val="20"/>
        </w:rPr>
        <w:t>. The volatility assumption was determined by examining the historical volatilities for industry peer companies, as the Company does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Therefore, the Company has assumed no dividend yield for purposes of estimating the fair value of the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Deferred income taxes reflect future tax effects of temporary differences between the tax and financial reporting basis of the Company’s assets and liabilities measured using enacted tax laws and statutory tax rates applicable to the periods when the temporary differences will affect taxable income. When necessary, deferred tax assets are reduced by a valuation allowance, to reflect realizable value, and all deferred tax balances are reported as long-term on the condensed consolidated balance sheets. Accruals are maintained for uncertain tax positions, as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 recognition threshold and measurement attribute for the financial statement recognition and measurement of a tax position taken, or expected to be taken, in a tax return. The Company has elected to treat interest and penalties related to income taxes, to the extent they arise, as a component of 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100% valuation allowance on its net deferred tax assets. The Company has not recognized any reserves for uncertain tax positions.</w:t>
      </w:r>
    </w:p>
    <w:p>
      <w:pPr>
        <w:pStyle w:val="TextBody"/>
        <w:bidi w:val="0"/>
        <w:spacing w:before="240" w:after="240"/>
        <w:jc w:val="left"/>
        <w:rPr>
          <w:rFonts w:ascii="Times New Roman" w:hAnsi="Times New Roman"/>
          <w:sz w:val="20"/>
        </w:rPr>
      </w:pPr>
      <w:r>
        <w:rPr>
          <w:rFonts w:ascii="Times New Roman" w:hAnsi="Times New Roman"/>
          <w:b/>
          <w:i/>
          <w:color w:val="000000"/>
          <w:sz w:val="20"/>
        </w:rPr>
        <w:t>Earnings per share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In accordance with ASC 260, </w:t>
      </w:r>
      <w:r>
        <w:rPr>
          <w:rFonts w:ascii="Times New Roman" w:hAnsi="Times New Roman"/>
          <w:i/>
          <w:color w:val="000000"/>
          <w:sz w:val="20"/>
        </w:rPr>
        <w:t xml:space="preserve">Earnings per Share </w:t>
      </w:r>
      <w:r>
        <w:rPr>
          <w:rFonts w:ascii="Times New Roman" w:hAnsi="Times New Roman"/>
          <w:color w:val="000000"/>
          <w:sz w:val="20"/>
        </w:rPr>
        <w:t xml:space="preserve">(“ASC 260”), basic net income (loss) per share attributable to common stockholders is computed by dividing net income (loss) attributable to common stockholders by the weighted-average number of common stock outstanding during the period. Diluted net income (loss) per share attributable to common stockholders is computed by dividing the diluted net income (loss) attributable to common stockholders by the weighted-average number of common stock outstanding for the period including potential dilutive common shares such as stock options and convertible preferred stock. See Note 4, </w:t>
      </w:r>
      <w:r>
        <w:rPr>
          <w:rFonts w:ascii="Times New Roman" w:hAnsi="Times New Roman"/>
          <w:i/>
          <w:color w:val="000000"/>
          <w:sz w:val="20"/>
        </w:rPr>
        <w:t>Earnings per share</w:t>
      </w:r>
      <w:r>
        <w:rPr>
          <w:rFonts w:ascii="Times New Roman" w:hAnsi="Times New Roman"/>
          <w:color w:val="000000"/>
          <w:sz w:val="20"/>
        </w:rPr>
        <w:t xml:space="preserve">, for further details. </w:t>
      </w:r>
    </w:p>
    <w:p>
      <w:pPr>
        <w:pStyle w:val="TextBody"/>
        <w:bidi w:val="0"/>
        <w:spacing w:before="240" w:after="24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In accordance with ASC 280, </w:t>
      </w:r>
      <w:r>
        <w:rPr>
          <w:rFonts w:ascii="Times New Roman" w:hAnsi="Times New Roman"/>
          <w:i/>
          <w:color w:val="000000"/>
          <w:sz w:val="20"/>
        </w:rPr>
        <w:t>Segment Reporting</w:t>
      </w:r>
      <w:r>
        <w:rPr>
          <w:rFonts w:ascii="Times New Roman" w:hAnsi="Times New Roman"/>
          <w:color w:val="000000"/>
          <w:sz w:val="20"/>
        </w:rPr>
        <w:t xml:space="preserve">, the Company’s business activities are organized into one reportable segment, as only the Company’s operating results in their entirety are regularly reviewed by the Company’s chief operating decision maker to make decisions about resources to be allocated and to assess performance. </w:t>
      </w:r>
    </w:p>
    <w:p>
      <w:pPr>
        <w:pStyle w:val="TextBody"/>
        <w:bidi w:val="0"/>
        <w:spacing w:before="240" w:after="240"/>
        <w:jc w:val="left"/>
        <w:rPr>
          <w:rFonts w:ascii="Times New Roman" w:hAnsi="Times New Roman"/>
          <w:sz w:val="20"/>
        </w:rPr>
      </w:pPr>
      <w:r>
        <w:rPr>
          <w:rFonts w:ascii="Times New Roman" w:hAnsi="Times New Roman"/>
          <w:b/>
          <w:i/>
          <w:color w:val="000000"/>
          <w:sz w:val="20"/>
        </w:rPr>
        <w:t>Australian Research and Development Tax Credit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June 2023, the Company formed a new subsidiary in Australia, SAB Australia, a proprietary limited company, primarily to conduct preclinical and clinical activities for product candidates. SAB Australia's research and development activities qualify for the Australian government's tax credit program, which provides a 48.5% credit for qualifying research and development expenses. The research and development incentive is one of the key elements of the Australian Government's support for Australia's innovation system and is supported by legislative law primarily in the form of the Australian Income Tax Assessment Act 1997, as long as eligibility criteria are met. Under the program, a percentage of eligible research and development expenses incurred by the Company through SAB Australia are reimbursed.</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recognizes other income from the Australian research and development incentive when there is reasonable assurance that the income will be received, the relevant expenditure has been incurred, and the consideration can be reliably measured. Management has assessed the Company's research and development activities and expenditures to determine which are likely to be eligible under the research and development incentive regime described above. At each period end, management estimates the refundable tax offset available to the Company based on available information at the time, which is included in other income in the condensed consolidated statements of operations and comprehensive loss. The Company recognized $0.2 million and $0.3 million, and $0.3 million and $0.8 million, in tax credit income for the three and six months ended June 30, 2026 and 2025, respectively.</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(3) New accounting standards</w:t>
      </w:r>
    </w:p>
    <w:p>
      <w:pPr>
        <w:pStyle w:val="Heading2"/>
        <w:bidi w:val="0"/>
        <w:spacing w:before="120" w:after="240"/>
        <w:jc w:val="left"/>
        <w:rPr>
          <w:rFonts w:ascii="Times New Roman" w:hAnsi="Times New Roman"/>
          <w:b w:val="false"/>
          <w:i/>
          <w:color w:val="000000"/>
          <w:sz w:val="20"/>
        </w:rPr>
      </w:pPr>
      <w:r>
        <w:rPr>
          <w:rFonts w:ascii="Times New Roman" w:hAnsi="Times New Roman"/>
          <w:b w:val="false"/>
          <w:i/>
          <w:color w:val="000000"/>
          <w:sz w:val="20"/>
        </w:rPr>
        <w:t>Accounting Pronouncements Not Yet Adopted</w:t>
      </w:r>
    </w:p>
    <w:p>
      <w:pPr>
        <w:pStyle w:val="TextBody"/>
        <w:bidi w:val="0"/>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(Topic 220)”. ASU 2024-03 requires additional disclosure in the notes to financial statements of specified information about certain expenses such as purchases of inventory, employee compensation, depreciation, intangible asset amortization, and depreciation and other expenses which are presented in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of adopting this ASU on its condensed consolidated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w:t>
      </w:r>
      <w:r>
        <w:rPr>
          <w:rFonts w:ascii="Times New Roman" w:hAnsi="Times New Roman"/>
          <w:color w:val="000000"/>
          <w:sz w:val="20"/>
        </w:rPr>
        <w:t>, Targeted Improvements to the Accounting for Internal-Use Software ("</w:t>
      </w:r>
      <w:r>
        <w:rPr>
          <w:rFonts w:ascii="Times New Roman" w:hAnsi="Times New Roman"/>
          <w:i/>
          <w:color w:val="000000"/>
          <w:sz w:val="20"/>
        </w:rPr>
        <w:t>ASU 2025-06</w:t>
      </w:r>
      <w:r>
        <w:rPr>
          <w:rFonts w:ascii="Times New Roman" w:hAnsi="Times New Roman"/>
          <w:color w:val="000000"/>
          <w:sz w:val="20"/>
        </w:rPr>
        <w:t xml:space="preserve">") and is effective January 1, 2028 with early adoption permitted. </w:t>
      </w:r>
      <w:r>
        <w:rPr>
          <w:rFonts w:ascii="Times New Roman" w:hAnsi="Times New Roman"/>
          <w:i/>
          <w:color w:val="000000"/>
          <w:sz w:val="20"/>
        </w:rPr>
        <w:t>ASU 2025-06</w:t>
      </w:r>
      <w:r>
        <w:rPr>
          <w:rFonts w:ascii="Times New Roman" w:hAnsi="Times New Roman"/>
          <w:color w:val="000000"/>
          <w:sz w:val="20"/>
        </w:rPr>
        <w:t xml:space="preserve"> modernizes the accounting for internal use software costs and requires entities to start capitalizing eligible costs when (1) management has authorized and committed to funding the software project, and (2) it is probable that the project will be completed and the software will be used to perform the function intended. The guidance can be applied on a prospective basis, a modified basis for in-process projects, or a retrospective basis. The Company is still assessing the impact of adopting this standard.</w:t>
      </w:r>
    </w:p>
    <w:p>
      <w:pPr>
        <w:pStyle w:val="Heading2"/>
        <w:bidi w:val="0"/>
        <w:spacing w:before="240" w:after="240"/>
        <w:jc w:val="left"/>
        <w:rPr>
          <w:rFonts w:ascii="Times New Roman" w:hAnsi="Times New Roman"/>
          <w:color w:val="000000"/>
          <w:sz w:val="20"/>
        </w:rPr>
      </w:pPr>
      <w:r>
        <w:rPr>
          <w:rFonts w:ascii="Times New Roman" w:hAnsi="Times New Roman"/>
          <w:color w:val="000000"/>
          <w:sz w:val="20"/>
        </w:rPr>
        <w:t>(4) Earnings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the Company reported a net loss for the three and six months ended June 30, 2026 and 2025, it was required by ASC 260 to use basic weighted-average shares outstanding when calculating diluted net loss per share for the three and six months ended June 30, 2026 and 2025, as the potential dilutive securities are anti-dilutive.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reconciliation of the numerator and denominator used to calculate basic earnings per share and diluted earnings per share for the three and six months ended June 30, 2026 and 2025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676"/>
        <w:gridCol w:w="146"/>
        <w:gridCol w:w="217"/>
        <w:gridCol w:w="1065"/>
        <w:gridCol w:w="170"/>
        <w:gridCol w:w="150"/>
        <w:gridCol w:w="217"/>
        <w:gridCol w:w="958"/>
        <w:gridCol w:w="166"/>
        <w:gridCol w:w="146"/>
        <w:gridCol w:w="211"/>
        <w:gridCol w:w="1036"/>
        <w:gridCol w:w="166"/>
        <w:gridCol w:w="146"/>
        <w:gridCol w:w="211"/>
        <w:gridCol w:w="931"/>
        <w:gridCol w:w="593"/>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Calculation of basic loss per share attributable to the Company’s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79,753,100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66,768,309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9,293,018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Included within weighted average common shares outstanding for the six months ended June 30, 2026, are 2,753,246 common shares issuable upon the exercise of pre-funded warrants, as the warrants are exercisable at any time for nominal consideration, and, as such, the shares are considered outstanding for the purpose of calculating basic and diluted net loss per share attributable to common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other potentially dilutive securities, which include stock options, restricted stock awards, common stock warrants, common stock underlying preferred stock warrants, earnout shares, and contingently issuable earnout shares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8529" w:type="dxa"/>
        <w:jc w:val="left"/>
        <w:tblInd w:w="0" w:type="dxa"/>
        <w:tblLayout w:type="fixed"/>
        <w:tblCellMar>
          <w:top w:w="28" w:type="dxa"/>
          <w:left w:w="28" w:type="dxa"/>
          <w:bottom w:w="28" w:type="dxa"/>
          <w:right w:w="28" w:type="dxa"/>
        </w:tblCellMar>
      </w:tblPr>
      <w:tblGrid>
        <w:gridCol w:w="5431"/>
        <w:gridCol w:w="146"/>
        <w:gridCol w:w="146"/>
        <w:gridCol w:w="1141"/>
        <w:gridCol w:w="146"/>
        <w:gridCol w:w="146"/>
        <w:gridCol w:w="146"/>
        <w:gridCol w:w="1036"/>
        <w:gridCol w:w="1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39,835,110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17,002,381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Enrollment Date Warrants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Date Warrants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Contingently issuable Earnout Shares from unexercised Rollover </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211,486,528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29,014,362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Contained within common stock warrants are the 575,000</w:t>
      </w:r>
      <w:r>
        <w:rPr>
          <w:color w:val="000000"/>
        </w:rPr>
        <w:t xml:space="preserve"> </w:t>
      </w:r>
      <w:r>
        <w:rPr>
          <w:rFonts w:ascii="Times New Roman" w:hAnsi="Times New Roman"/>
          <w:color w:val="000000"/>
          <w:sz w:val="20"/>
        </w:rPr>
        <w:t>shares of common stock underlying public warrants (the “Public Warrants”), 20,860</w:t>
      </w:r>
      <w:r>
        <w:rPr>
          <w:color w:val="000000"/>
        </w:rPr>
        <w:t xml:space="preserve"> </w:t>
      </w:r>
      <w:r>
        <w:rPr>
          <w:rFonts w:ascii="Times New Roman" w:hAnsi="Times New Roman"/>
          <w:color w:val="000000"/>
          <w:sz w:val="20"/>
        </w:rPr>
        <w:t>shares of common stock underlying warrants held by assignees of Big Cypress Holdings, LLC (the “Private Placement Warrants”), 736,337</w:t>
      </w:r>
      <w:r>
        <w:rPr>
          <w:color w:val="000000"/>
        </w:rPr>
        <w:t xml:space="preserve"> </w:t>
      </w:r>
      <w:r>
        <w:rPr>
          <w:rFonts w:ascii="Times New Roman" w:hAnsi="Times New Roman"/>
          <w:color w:val="000000"/>
          <w:sz w:val="20"/>
        </w:rPr>
        <w:t>shares underlying warrants issued to the investors in the December 2022 Private Placement (the “the PIPE Warrants”), 21,091</w:t>
      </w:r>
      <w:r>
        <w:rPr>
          <w:color w:val="000000"/>
        </w:rPr>
        <w:t xml:space="preserve"> </w:t>
      </w:r>
      <w:r>
        <w:rPr>
          <w:rFonts w:ascii="Times New Roman" w:hAnsi="Times New Roman"/>
          <w:color w:val="000000"/>
          <w:sz w:val="20"/>
        </w:rPr>
        <w:t>shares underlying warrants issued to the placement agent in the December 2022 Private Placement (the “PIPE Placement Agent Warrants”), and 850,119</w:t>
      </w:r>
      <w:r>
        <w:rPr>
          <w:color w:val="000000"/>
        </w:rPr>
        <w:t xml:space="preserve"> </w:t>
      </w:r>
      <w:r>
        <w:rPr>
          <w:rFonts w:ascii="Times New Roman" w:hAnsi="Times New Roman"/>
          <w:color w:val="000000"/>
          <w:sz w:val="20"/>
        </w:rPr>
        <w:t xml:space="preserve">shares underlying the Preferred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PIPE Placement Agent Warrants issued to the placement agent in the September 2023 Offering. See Note 10, </w:t>
      </w:r>
      <w:r>
        <w:rPr>
          <w:rFonts w:ascii="Times New Roman" w:hAnsi="Times New Roman"/>
          <w:i/>
          <w:color w:val="000000"/>
          <w:sz w:val="20"/>
        </w:rPr>
        <w:t xml:space="preserve">Warrants </w:t>
      </w:r>
      <w:r>
        <w:rPr>
          <w:rFonts w:ascii="Times New Roman" w:hAnsi="Times New Roman"/>
          <w:color w:val="000000"/>
          <w:sz w:val="20"/>
        </w:rPr>
        <w:t>for further details on the Company’s outstanding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Represents 4,504,824 and 6,669,742 shares of common stock underlying 28,380 and 42,019 issued and outstanding shares of Series A-2 Preferred Stock, for the six months ended June 30, 2026 and 2025, respectively. See Note 8, </w:t>
      </w:r>
      <w:r>
        <w:rPr>
          <w:rFonts w:ascii="Times New Roman" w:hAnsi="Times New Roman"/>
          <w:i/>
          <w:color w:val="000000"/>
          <w:sz w:val="20"/>
        </w:rPr>
        <w:t>Stockholders’ Equity</w:t>
      </w:r>
      <w:r>
        <w:rPr>
          <w:rFonts w:ascii="Times New Roman" w:hAnsi="Times New Roman"/>
          <w:color w:val="000000"/>
          <w:sz w:val="20"/>
        </w:rPr>
        <w:t xml:space="preserve"> for further details on the Company’s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Represents 17,002,381 shares of common stock underlying 107,115 outstanding Preferred Tranche C Warrants (as defined below) for the six months ended June 30, 2026. See Note 10, </w:t>
      </w:r>
      <w:r>
        <w:rPr>
          <w:rFonts w:ascii="Times New Roman" w:hAnsi="Times New Roman"/>
          <w:i/>
          <w:color w:val="000000"/>
          <w:sz w:val="20"/>
        </w:rPr>
        <w:t>Warrants</w:t>
      </w:r>
      <w:r>
        <w:rPr>
          <w:rFonts w:ascii="Times New Roman" w:hAnsi="Times New Roman"/>
          <w:color w:val="000000"/>
          <w:sz w:val="20"/>
        </w:rPr>
        <w:t xml:space="preserve"> for further details on the Company’s outstanding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49,800,000 and 97,990,000 shares of common stock underlying the Release Date Warrants and Enrollment Date Warrants, respectively, for the six months ended June 30, 2026.</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(5) Property, plant and equipment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June 30, 2026 and December 31, 2025, the Company’s property, plant and equipment was as follows: </w:t>
      </w:r>
    </w:p>
    <w:tbl>
      <w:tblPr>
        <w:tblW w:w="7427"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334"/>
        <w:gridCol w:w="1166"/>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Animal facility 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Animal facility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plant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 was $0.8 million and $1.5 million for the three and six months ended June 30, 2026, respectively, and $0.8 million and $1.5 million for the three and six months ended June 30, 2025, respectively. In June 2026, the Company purchased unimproved land and began construction of a second farm facility in South Dakota to increase manufacturing capacity and establish a redundant herd to support long-term commercial supply for SAB-142.</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(6) Leases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has an operating lease for lab space from Sanford Health, that started in June 2014 and initially ended in June 2019, at which time the lease was extended through August 2024. This lease was renewed in January 2025 and amended in April 2026 to reduce the leased space, and has a five-year-term ending on December 31, 2029.</w:t>
      </w:r>
    </w:p>
    <w:p>
      <w:pPr>
        <w:pStyle w:val="TextBody"/>
        <w:bidi w:val="0"/>
        <w:jc w:val="left"/>
        <w:rPr>
          <w:rFonts w:ascii="Times New Roman" w:hAnsi="Times New Roman"/>
          <w:color w:val="000000"/>
          <w:sz w:val="20"/>
        </w:rPr>
      </w:pPr>
      <w:r>
        <w:rPr>
          <w:rFonts w:ascii="Times New Roman" w:hAnsi="Times New Roman"/>
          <w:color w:val="000000"/>
          <w:sz w:val="20"/>
        </w:rPr>
        <w:t>The Company entered into a lease for office, laboratory, and warehouse space in November 2020, as amended in July 2022, and renewed in November 2023. This renewed lease has a 3-year term, with options to extend for 3 additional periods of 3 years each. The options were not included in the right of use calculation as it was unclear as to whether or not the location will meet the Company’s requirements beyond the next three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lease for office space in Miami Beach, Florida in April 2024. In September 2025, the Company terminated this lease and entered into a new lease for expanded space. The new lease commenced in January 2026 with a five-year term.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Finance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December 2018, the Company entered into a finance lease with Dakota Ag Properties for a new animal facility which includes the surrounding land. The facility and the land have been accounted for as separate lease components. The lease is based upon payback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$4.0 million in construction costs, with a 20-year term at an interest rate of 8%. The Company has the option to purchase the asset at any time during the term of the lease for the balance of the unamortized lease payments.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lease agreements do not require material variable lease payments, residual value guarantees or restrictive covenants.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weighted-average remaining lease term and weighted-average discount rate for operating and finance leases as of June 30, 2026 and December 31, 2025 are: </w:t>
      </w:r>
    </w:p>
    <w:tbl>
      <w:tblPr>
        <w:tblW w:w="8151" w:type="dxa"/>
        <w:jc w:val="left"/>
        <w:tblInd w:w="0" w:type="dxa"/>
        <w:tblLayout w:type="fixed"/>
        <w:tblCellMar>
          <w:top w:w="28" w:type="dxa"/>
          <w:left w:w="28" w:type="dxa"/>
          <w:bottom w:w="28" w:type="dxa"/>
          <w:right w:w="28" w:type="dxa"/>
        </w:tblCellMar>
      </w:tblPr>
      <w:tblGrid>
        <w:gridCol w:w="3916"/>
        <w:gridCol w:w="146"/>
        <w:gridCol w:w="856"/>
        <w:gridCol w:w="146"/>
        <w:gridCol w:w="676"/>
        <w:gridCol w:w="146"/>
        <w:gridCol w:w="204"/>
        <w:gridCol w:w="652"/>
        <w:gridCol w:w="271"/>
        <w:gridCol w:w="146"/>
        <w:gridCol w:w="161"/>
        <w:gridCol w:w="515"/>
        <w:gridCol w:w="3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reconciles the undiscounted future minimum lease payments under non-cancelable leases with terms of more than one year to the total lease liabilities recognized on the condensed consolidated balance sheets as of June 30, 2026 (in thousands): </w:t>
      </w:r>
    </w:p>
    <w:tbl>
      <w:tblPr>
        <w:tblW w:w="6253" w:type="dxa"/>
        <w:jc w:val="left"/>
        <w:tblInd w:w="0" w:type="dxa"/>
        <w:tblLayout w:type="fixed"/>
        <w:tblCellMar>
          <w:top w:w="28" w:type="dxa"/>
          <w:left w:w="28" w:type="dxa"/>
          <w:bottom w:w="28" w:type="dxa"/>
          <w:right w:w="28" w:type="dxa"/>
        </w:tblCellMar>
      </w:tblPr>
      <w:tblGrid>
        <w:gridCol w:w="3886"/>
        <w:gridCol w:w="146"/>
        <w:gridCol w:w="230"/>
        <w:gridCol w:w="626"/>
        <w:gridCol w:w="166"/>
        <w:gridCol w:w="146"/>
        <w:gridCol w:w="211"/>
        <w:gridCol w:w="631"/>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expense were as follows for the three and six months ended June 30, 2026 and 2025 (in thousands):</w:t>
      </w:r>
    </w:p>
    <w:tbl>
      <w:tblPr>
        <w:tblW w:w="9282" w:type="dxa"/>
        <w:jc w:val="left"/>
        <w:tblInd w:w="0" w:type="dxa"/>
        <w:tblLayout w:type="fixed"/>
        <w:tblCellMar>
          <w:top w:w="28" w:type="dxa"/>
          <w:left w:w="28" w:type="dxa"/>
          <w:bottom w:w="28" w:type="dxa"/>
          <w:right w:w="28" w:type="dxa"/>
        </w:tblCellMar>
      </w:tblPr>
      <w:tblGrid>
        <w:gridCol w:w="3691"/>
        <w:gridCol w:w="146"/>
        <w:gridCol w:w="395"/>
        <w:gridCol w:w="758"/>
        <w:gridCol w:w="294"/>
        <w:gridCol w:w="294"/>
        <w:gridCol w:w="395"/>
        <w:gridCol w:w="758"/>
        <w:gridCol w:w="146"/>
        <w:gridCol w:w="146"/>
        <w:gridCol w:w="282"/>
        <w:gridCol w:w="542"/>
        <w:gridCol w:w="210"/>
        <w:gridCol w:w="210"/>
        <w:gridCol w:w="282"/>
        <w:gridCol w:w="542"/>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 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cost - right-of-use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cost -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 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(7) Accrued Expenses and Other Current Liabilities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June 30, 2026 and December 31, 2025, accrued expenses and other current liabilities consisted of the following (in thousands): </w:t>
      </w:r>
    </w:p>
    <w:tbl>
      <w:tblPr>
        <w:tblW w:w="6242"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94"/>
        <w:gridCol w:w="80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outside laboratory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Authorized and Outstanding Capital Stock</w:t>
      </w:r>
    </w:p>
    <w:p>
      <w:pPr>
        <w:pStyle w:val="TextBody"/>
        <w:bidi w:val="0"/>
        <w:jc w:val="left"/>
        <w:rPr>
          <w:rFonts w:ascii="Times New Roman" w:hAnsi="Times New Roman"/>
          <w:color w:val="000000"/>
          <w:sz w:val="20"/>
        </w:rPr>
      </w:pPr>
      <w:r>
        <w:rPr>
          <w:rFonts w:ascii="Times New Roman" w:hAnsi="Times New Roman"/>
          <w:color w:val="000000"/>
          <w:sz w:val="20"/>
        </w:rPr>
        <w:t xml:space="preserve">The total number of shares of the Company’s authorized capital stock is 810,000,000. The total amount of authorized capital stock consists of 800,000,000 shares of common stock and 10,000,000 shares of preferred stock. As of June 30, 2026, 83,493,068 shares of common stock, 28,380 shares of Series A Preferred Stock, and 522,629 shares of Series B Preferred Stock were outstanding.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Series A Preferred Stock and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29, 2023, the Company entered into a securities purchase agreement (the “September 2023 Purchase Agreement”) with certain accredited investors, in a private placement (the “September 2023 Offering”), pursuant to which the Company issued and sold 7,500 shares of Series A-1 Convertible Preferred Stock and Preferred Tranche A, B and C Warrants (collectively, the “Preferred Warrants”). During the fourth quarter of 2023, holders exercised Preferred Tranche A Warrants for an aggregate of 59,654 shares of Series A-1 Preferred Stock, for gross proceeds of $59.7 million, bringing the total of Series A-1 Preferred Stock issued under the September 2023 Offering and related exercises to 67,154 shares. All unexercised Preferred Tranche A and Preferred Tranche B Warrants were subsequently forfeited and the Preferred Tranche C Warrants remain outstanding and exercisable until the five (5) year anniversary of their exercisability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Following receipt of required stockholder approval, 24,918 shares of Series A-1 Preferred Stock were automatically converted into an aggregate of 3,954,674 shares of common stock at a conversion price of $6.30 per share and the remaining 42,236 shares of Series A-1 Preferred Stock were converted into an equal number of shares of Series A-2 Preferred Stock, which are convertible into common stock at the same conversion price of $6.30 per share. Holders of Series A Preferred Stock are entitled to receive dividends on an as-converted-to-common-stock basis and to vote together with holders of common stock, subject to a beneficial ownership blocker of either 4.99% or 9.99%, as elected by each holder.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were no Series A-2 Preferred Stock conversions during the six months ended June 30, 2026, and 13,639 shares of Series A-2 Preferred Stock were converted into 2,164,918 shares of common stock during the year ended December 31, 2025.</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regarding the Company’s outstanding warrants, refer to Note 10, </w:t>
      </w:r>
      <w:r>
        <w:rPr>
          <w:rFonts w:ascii="Times New Roman" w:hAnsi="Times New Roman"/>
          <w:i/>
          <w:color w:val="000000"/>
          <w:sz w:val="20"/>
        </w:rPr>
        <w:t>Warrants</w:t>
      </w:r>
      <w:r>
        <w:rPr>
          <w:rFonts w:ascii="Times New Roman" w:hAnsi="Times New Roman"/>
          <w:color w:val="000000"/>
          <w:sz w:val="20"/>
        </w:rPr>
        <w:t>.</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Series B Convertible Preferred Stock and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21, 2025, the Company entered into a securities purchase agreement with certain accredited investors (the “July 2025 Purchase Agreement”), in connection with a private placement (the “Series B Offering”) of 1,000,000 shares of Series B Convertible Preferred Stock (the “Series B Preferred Stock,” and such shares, the “Series B Shares”), initially convertible into 100,000,000 shares of common stock (the “Conversion Shares”), together with Release Date Warrants to purchase up to 500,000 shares of Series B Preferred Stock with an exercise price of $218.75 per share, and Enrollment Date Warrants to purchase up to 1,000,000 shares of Series B Preferred Stock with an exercise price of $175.00 per share. The closing of the Series B Offering occurred on July 22, 2025 and generated gross proceeds of $175.0 million and net proceeds of $163.9 million after $11.1 million of offering costs. The Enrollment Date Warrants and Release Date Warrants were initially classified as liabilities at fair value because the underlying preferred shares were redeemable under certain conditions, with the remaining proceeds allocated to the Series B Preferred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the Company’s special meeting of stockholders held on September 26, 2025 (the “2025 Special Meeting”), stockholders approved the issuance of the common stock underlying the Series B Preferred Stock (the “Requisite Approval”), after which 361,442 shares of Series B Preferred Stock converted into 36,144,200 shares of common stock, subject to a 4.99% beneficial ownership limitation. Upon receiving the requisite approval on September 26, 2025, the Series B Preferred Stock was no longer redeemable, and the Release Date Warrants and Enrollment Date Warrants were reclassified from liabilities to stockholders’ equity. Following the requisite approval on September 26, 2025, the change in fair value of $62.0 million was recorded as other income.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were 20,100 Enrollment Date Warrants and 2,000 Release Date Warrants exercised during the six months ended June 30, 2026. There were no Enrollment Date Warrants or Release Date Warrants exercised during the year ended December 31, 2025.</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regarding the Company’s outstanding warrants, refer to Note 10, </w:t>
      </w:r>
      <w:r>
        <w:rPr>
          <w:rFonts w:ascii="Times New Roman" w:hAnsi="Times New Roman"/>
          <w:i/>
          <w:color w:val="000000"/>
          <w:sz w:val="20"/>
        </w:rPr>
        <w:t>Warrants</w:t>
      </w:r>
      <w:r>
        <w:rPr>
          <w:rFonts w:ascii="Times New Roman" w:hAnsi="Times New Roman"/>
          <w:color w:val="000000"/>
          <w:sz w:val="20"/>
        </w:rPr>
        <w:t>.</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March 2026 Public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March 17, 2026, the Company entered into an underwriting agreement (the “March 2026 Public Offering”), pursuant to which the Company issued and sold 19,324,677 shares of common stock (the "Firm Shares"), at a public offering price of $3.85 per share, and pre-funded warrants to purchase up to 2,753,246 shares of common stock (the “Pre-Funded Warrants”), at a public offering price of $3.8499 per Pre-Funded Warrant (the Firm Shares price less the $0.0001 per share exercise price of each Pre-Funded Warrant).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Company also granted the underwriters a 30-day option to purchase up to an additional 3,311,688 shares of common stock at the public offering price, less underwriting discounts and commissions (the “Optional Shares”). As of March 31, 2026, the underwriters partially exercised their option and purchased an additional 2,000,000 shares of common stock at the public offering price of $3.85 per share, less underwriting discounts and commissions, resulting in additional net proceeds of $7.2 million. In April 2026, the underwriters partially exercised their option and purchased an additional 610,188 shares of common stock at the public offering price of $3.85 per share, less underwriting discounts and commissions, resulting in additional net proceeds of $2.2 million. The remaining Optional Shares of 701,500 expired without exercise in April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received aggregate net proceeds from the offering, including the partial exercise of the underwriters’ option, of approximately $88.7 million, after deducting underwriting discounts and commissions and offering expenses payable by the Company. Issuance costs were allocated between the common stock and the pre-funded warrants on a relative fair value basis and charged to additional paid-in capital.</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regarding the Company’s outstanding warrants, refer to Note 10, </w:t>
      </w:r>
      <w:r>
        <w:rPr>
          <w:rFonts w:ascii="Times New Roman" w:hAnsi="Times New Roman"/>
          <w:i/>
          <w:color w:val="000000"/>
          <w:sz w:val="20"/>
        </w:rPr>
        <w:t>Warrants.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Earnout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October 22, 2021 (the “Closing Date”), the Company consummated the business combination (the “Business Combination”) contemplated by the agreement and plan of merger, dated as of June 21, 2021, as amended on August 12, 2021, among Big Cypress Acquisition Corp., a Delaware corporation (“BCYP”), Big Cypress Merger Sub Inc. (“Merger Sub”), the Company, and Shareholder Representative Services LLC (the “Business Combination Agreement ”). Upon closing of the Business Combination, Merger Sub merged with SAB Biotherapeutics, with SAB Biotherapeutics as the surviving company of the merger. Upon closing of the Business Combination, BCYP changed its name to “SAB Biotherapeutics,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Business Combination Agreement included an earnout provision under which SAB Biotherapeutics’ pre-closing securityholders (including vested option holders) have the contingent right to receive up to an aggregate of 1,200,000 additional shares (the “Earnout Shares”), released in four equal 25% increments if, at any time during the five years following the Closing Date, the volume weighted average price (“VWAP”) of the Company’s common stock equals or exceeds, $150.00, $200.00, $250.00, and $300.00, respectively, for any 20 trading days within a period of 30 consecutive trading days (or upon qualifying change in control at a per share price exceeding the applicable threshold). Of the 1,200,000 Earnout Shares, 150,806 are contingently issuable and 1,049,194 are legally issued and outstanding but will be returned to the Company if applicable VWAP thresholds are not met within the five-year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Earnout Shares are indexed to the Company’s equity and meet the criteria for equity classification. On the Closing Date, the fair value of the 1,200,000 Earnout Shares was $101.3 million, recorded as stock dividend reducing additional paid-in capital, offset by the increase in additional paid-in capital associated with the Business Combination.</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Shelf Registration Statement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December 29, 2025 the Company filed a Registration Statement on Form S-3 (Registration No. 333-292482) (the “Shelf Registration Statement”), declared effective on January 7, 2026 by the SEC, which includes a base prospectus that allows the Company to offer and sell, from time to time, in one or more offerings, common stock, preferred stock, debt securities, warrants, rights or units up to an aggregate public offering price of $300.0 million. The Shelf Registration Statement is intended to preserve the Company’s flexibility to raise capital from time to time, if and when needed.</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(9) Stock Option Plans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2014 Equity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2014, the Company approved a stock option grant plan (the “2014 Equity Incentive Plan”) for employees, directors, and non-employee consultants, which provides for the issuance of options to purchase common stock. The Company no longer grants new awards under the 2014 Equity Incentive Plan, and outstanding awards remain subject to its terms, which are described in the Company’s Annual Report on Form 10-K for the year ended December 31, 2025. As of June 30, 2026, 534,600 shares are available for grant and 194,050 shares underlying outstanding grants.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jc w:val="left"/>
        <w:rPr>
          <w:rFonts w:ascii="Times New Roman" w:hAnsi="Times New Roman"/>
          <w:color w:val="000000"/>
          <w:sz w:val="20"/>
        </w:rPr>
      </w:pPr>
      <w:r>
        <w:rPr>
          <w:rFonts w:ascii="Times New Roman" w:hAnsi="Times New Roman"/>
          <w:color w:val="000000"/>
          <w:sz w:val="20"/>
        </w:rPr>
        <w:t xml:space="preserve">In 2021, the Company approved the 2021 Omnibus Equity Incentive Plan (as amended, the “2021 Equity Incentive Plan”). The 2021 Equity Incentive Plan provides grants of stock options, restricted stock units and other stock-based awards to employees, directors, and non-employee consultants. The 2021 Equity Incentive Plan includes an annual evergreen provision that increases the shares reserved for issuance at the beginning of each calendar year, subject to a cap, and has been amended to increase the shares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grant, most recently by stockholder approval at the 2024 Annual Meeting and the 2025 Special Meeting. The terms of the 2021 Equity Incentive Plan and these amendments are described in the Company’s Annual Report on Form 10-K for the year ended December 31, 2025. As of June 30, 2026, 47,594,877 shares of common stock were reserved for issuance under the 2021 Equity Incentive Plan, with 7,953,817 shares available for grant and 39,641,060 shares underlying outstanding grants.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rFonts w:ascii="Times New Roman" w:hAnsi="Times New Roman"/>
          <w:color w:val="000000"/>
          <w:sz w:val="20"/>
        </w:rPr>
      </w:pPr>
      <w:r>
        <w:rPr>
          <w:rFonts w:ascii="Times New Roman" w:hAnsi="Times New Roman"/>
          <w:color w:val="000000"/>
          <w:sz w:val="20"/>
        </w:rPr>
        <w:t>The Company offers an Employee Stock Purchase Plan (“ESPP”) that allows eligible employees to purchase shares of common stock at a discount of up to 15% from the lower of the fair market value at the beginning or end of the offering period. Under ASC 718, the ESPP is classified as compensatory, and stock-based compensation expense is recognized for the fair value of the discount and any embedded option features. No shares were issued under the ESPP during either the three and six months ended June 30, 2026 and 2025, and no stock-based compensation expense was recognized. As of June 30, 2026, 100,000 shares remained available for future issuance.</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Stock option activity for employees and non-employees under the Equity Compensation Plans for the six months ended June 30, 2026, was as follows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604"/>
        <w:gridCol w:w="146"/>
        <w:gridCol w:w="146"/>
        <w:gridCol w:w="1036"/>
        <w:gridCol w:w="166"/>
        <w:gridCol w:w="146"/>
        <w:gridCol w:w="302"/>
        <w:gridCol w:w="670"/>
        <w:gridCol w:w="146"/>
        <w:gridCol w:w="146"/>
        <w:gridCol w:w="651"/>
        <w:gridCol w:w="2084"/>
        <w:gridCol w:w="146"/>
        <w:gridCol w:w="146"/>
        <w:gridCol w:w="351"/>
        <w:gridCol w:w="1124"/>
        <w:gridCol w:w="195"/>
      </w:tblGrid>
      <w:tr>
        <w:trPr/>
        <w:tc>
          <w:tcPr>
            <w:tcW w:w="2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 (periods)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19,607,200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39,828,829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unrecognized compensation cost related to non-vested stock options as of June 30, 2026, was approximately $92.8 million and is expected to be recognized within future operating results over a weighted-average period of 3.30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grant date fair value of options granted during the three and six months ended June 30, 2026, was $2.87 and $3.57 per share, respectively. During the three and six months ended June 30, 2026, 147,847 and 295,799 options vested with a fair value totaling $0.5 million and $1.0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grant date fair value of options granted during the three and six months ended June 30, 2025, was $1.44 and $1.44 per share, respectively. During the three and six months ended June 30, 2025, 113,024 and 394,836 options vested with a fair value totaling $0.4 million and $1.5 million, respectively.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estimated fair value of stock options granted to employees and consultants during the three and six months ended June 30, 2026 and 2025, was calculated using the Black-Scholes option-pricing model using the following assumptions:</w:t>
      </w:r>
    </w:p>
    <w:tbl>
      <w:tblPr>
        <w:tblW w:w="8627" w:type="dxa"/>
        <w:jc w:val="left"/>
        <w:tblInd w:w="0" w:type="dxa"/>
        <w:tblLayout w:type="fixed"/>
        <w:tblCellMar>
          <w:top w:w="28" w:type="dxa"/>
          <w:left w:w="28" w:type="dxa"/>
          <w:bottom w:w="28" w:type="dxa"/>
          <w:right w:w="28" w:type="dxa"/>
        </w:tblCellMar>
      </w:tblPr>
      <w:tblGrid>
        <w:gridCol w:w="2416"/>
        <w:gridCol w:w="146"/>
        <w:gridCol w:w="175"/>
        <w:gridCol w:w="685"/>
        <w:gridCol w:w="175"/>
        <w:gridCol w:w="325"/>
        <w:gridCol w:w="175"/>
        <w:gridCol w:w="175"/>
        <w:gridCol w:w="685"/>
        <w:gridCol w:w="175"/>
        <w:gridCol w:w="325"/>
        <w:gridCol w:w="146"/>
        <w:gridCol w:w="220"/>
        <w:gridCol w:w="861"/>
        <w:gridCol w:w="163"/>
        <w:gridCol w:w="302"/>
        <w:gridCol w:w="163"/>
        <w:gridCol w:w="163"/>
        <w:gridCol w:w="637"/>
        <w:gridCol w:w="163"/>
        <w:gridCol w:w="352"/>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90.7 - 102.0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periods)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6.00 - 6.08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3.81 - 4.42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 award activity for employees and non-employees under the Equity Compensation Plans for the six months ended June 30, 2026, was as follows:</w:t>
      </w:r>
    </w:p>
    <w:tbl>
      <w:tblPr>
        <w:tblW w:w="5900" w:type="dxa"/>
        <w:jc w:val="left"/>
        <w:tblInd w:w="0" w:type="dxa"/>
        <w:tblLayout w:type="fixed"/>
        <w:tblCellMar>
          <w:top w:w="28" w:type="dxa"/>
          <w:left w:w="28" w:type="dxa"/>
          <w:bottom w:w="28" w:type="dxa"/>
          <w:right w:w="28" w:type="dxa"/>
        </w:tblCellMar>
      </w:tblPr>
      <w:tblGrid>
        <w:gridCol w:w="2926"/>
        <w:gridCol w:w="146"/>
        <w:gridCol w:w="245"/>
        <w:gridCol w:w="1135"/>
        <w:gridCol w:w="166"/>
        <w:gridCol w:w="146"/>
        <w:gridCol w:w="254"/>
        <w:gridCol w:w="69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At June 30, 2026, the unrecognized equity-based compensation related to restricted stock units (“RSUs”) outstanding was de minimis. During the six months ended June 30, 2026, a total of 8,358 RSUs vested. For the six months ended June 30, 2026, the Company issued a net total of 6,033 RSUs. The unrecognized expense for restricted stock units is expected to be recognized within future operating results over a weighted average period of 0.65 years.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Stock-based compensation expense for the three and six months ended June 30, 2026 and 2025, was as follows (in thousands): </w:t>
      </w:r>
    </w:p>
    <w:tbl>
      <w:tblPr>
        <w:tblW w:w="8936" w:type="dxa"/>
        <w:jc w:val="left"/>
        <w:tblInd w:w="0" w:type="dxa"/>
        <w:tblLayout w:type="fixed"/>
        <w:tblCellMar>
          <w:top w:w="28" w:type="dxa"/>
          <w:left w:w="28" w:type="dxa"/>
          <w:bottom w:w="28" w:type="dxa"/>
          <w:right w:w="28" w:type="dxa"/>
        </w:tblCellMar>
      </w:tblPr>
      <w:tblGrid>
        <w:gridCol w:w="2311"/>
        <w:gridCol w:w="146"/>
        <w:gridCol w:w="384"/>
        <w:gridCol w:w="1039"/>
        <w:gridCol w:w="265"/>
        <w:gridCol w:w="265"/>
        <w:gridCol w:w="384"/>
        <w:gridCol w:w="766"/>
        <w:gridCol w:w="146"/>
        <w:gridCol w:w="146"/>
        <w:gridCol w:w="311"/>
        <w:gridCol w:w="998"/>
        <w:gridCol w:w="215"/>
        <w:gridCol w:w="215"/>
        <w:gridCol w:w="311"/>
        <w:gridCol w:w="84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(10) 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Liability Classified Warrants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Public Warrants</w:t>
      </w:r>
    </w:p>
    <w:p>
      <w:pPr>
        <w:pStyle w:val="TextBody"/>
        <w:bidi w:val="0"/>
        <w:jc w:val="left"/>
        <w:rPr>
          <w:rFonts w:ascii="Times New Roman" w:hAnsi="Times New Roman"/>
          <w:color w:val="000000"/>
          <w:sz w:val="20"/>
        </w:rPr>
      </w:pPr>
      <w:r>
        <w:rPr>
          <w:rFonts w:ascii="Times New Roman" w:hAnsi="Times New Roman"/>
          <w:color w:val="000000"/>
          <w:sz w:val="20"/>
        </w:rPr>
        <w:t>The Public Warrants were issued on October 22, 2021. Each whole Public Warrant entitles the holder to purchase one share of the Company's common stock at a price of $115.00 per share, subject to adjustment. Once exercisable, the Company may redeem the Public Warrants in whole and not in part, at $0.01 per Public Warrant, upon not less than 30 days’ prior written notice of redemption, if the last sale price of the common stock equals or exceeds $180.00 per share for any 20 trading days within a 30-trading-day period, in which case the Company may require holders to exercise on a cashless basis. The Public Warrants expire on October 22, 2026 (the fifth anniversary of the Business Combination), unless earlier exercised or redeemed. Once expired, the Public Warrants will have no further value and will no longer be exercisable.</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Private Placement Warrants</w:t>
      </w:r>
    </w:p>
    <w:p>
      <w:pPr>
        <w:pStyle w:val="TextBody"/>
        <w:bidi w:val="0"/>
        <w:jc w:val="left"/>
        <w:rPr>
          <w:rFonts w:ascii="Times New Roman" w:hAnsi="Times New Roman"/>
          <w:color w:val="000000"/>
          <w:sz w:val="20"/>
        </w:rPr>
      </w:pPr>
      <w:r>
        <w:rPr>
          <w:rFonts w:ascii="Times New Roman" w:hAnsi="Times New Roman"/>
          <w:color w:val="000000"/>
          <w:sz w:val="20"/>
        </w:rPr>
        <w:t>The Private Placement Warrants were issued on October 22, 2021 and are exercisable on a cashless basis and will be non-redeemable as long as they are held by the initial purchasers or their permitted transferees. If the Private Placement Warrants are transferred to other holders, they become redeemable by the Company and exercisable by such holders on the same basis as the Public Warrants. The Private Placement Warrants expire on October 22, 2026 (the fifth anniversary of the Business Combination), unless earlier exercised or redeemed. Once expired, the Private Placement Warrants will have no further value and will no longer be exercisable.</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September 2023 Purchase Agreement Warrants</w:t>
      </w:r>
    </w:p>
    <w:p>
      <w:pPr>
        <w:pStyle w:val="TextBody"/>
        <w:bidi w:val="0"/>
        <w:jc w:val="left"/>
        <w:rPr>
          <w:rFonts w:ascii="Times New Roman" w:hAnsi="Times New Roman"/>
          <w:color w:val="000000"/>
          <w:sz w:val="20"/>
        </w:rPr>
      </w:pPr>
      <w:r>
        <w:rPr>
          <w:rFonts w:ascii="Times New Roman" w:hAnsi="Times New Roman"/>
          <w:color w:val="000000"/>
          <w:sz w:val="20"/>
        </w:rPr>
        <w:t xml:space="preserve">The Preferred Tranche C Warrants were issued in connection with the Company’s September 2023 Purchase Agreement of Series A-1 Convertible Preferred Stock, in which the Company also issued Preferred Tranche A Warrants, Preferred Tranche B Warrants and Preferred Tranche C Warrants. The Preferred Tranche A Warrants were exercised or forfeited and the associated Preferred Tranche B Warrants were forfeited in 2023, leaving the Preferred Tranche C Warrants as the only tranche outstanding as of June 30, 2026.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Tranche C Warrants expire on November 23, 2028, unless exercised or redeemed. Once expired, the Preferred Tranche C Warrants will have no further value and will no longer be exercisable.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107,115 Preferred Tranche C Warrants outstanding to purchase shares of Series A-3 Preferred Stock having an aggregate exercise price of approximately $107.1 million.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Equity Classified Warrants</w:t>
      </w:r>
    </w:p>
    <w:p>
      <w:pPr>
        <w:pStyle w:val="TextBody"/>
        <w:bidi w:val="0"/>
        <w:spacing w:before="0" w:after="240"/>
        <w:jc w:val="left"/>
        <w:rPr>
          <w:rFonts w:ascii="Times New Roman" w:hAnsi="Times New Roman"/>
          <w:sz w:val="20"/>
        </w:rPr>
      </w:pPr>
      <w:r>
        <w:rPr>
          <w:rFonts w:ascii="Times New Roman" w:hAnsi="Times New Roman"/>
          <w:i/>
          <w:color w:val="000000"/>
          <w:sz w:val="20"/>
        </w:rPr>
        <w:t>PIPE Warrants and PIPE Placement Agent Warrants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2022, the Company completed a private placement (the “December 2022 Private Placement”) in which it sold 736,337 shares of common stock and the PIPE Warrants exercisable for up to 736,337 shares of common stock. The combined purchase price of each share and accompanying PIPE Warrant was $10.80, except three participating directors of the Company each paid at a $1.25 premium per share and accompanying PIPE Warrant. Each PIPE Warrant has an exercise price of $10.80 per share and is exercisable for five years from the date of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December 2022 Private Placement, the Company issued Brookline Capital Markets the PIPE Placement Agent Warrants to purchase up to 21,091 shares of common stock. The PIPE Placement Agent Warrants have an exercise price equal to $13.50 per share and expire five years from the date of issuance.</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2023 Ladenburg Agreement Warrants</w:t>
      </w:r>
    </w:p>
    <w:p>
      <w:pPr>
        <w:pStyle w:val="TextBody"/>
        <w:bidi w:val="0"/>
        <w:jc w:val="left"/>
        <w:rPr>
          <w:rFonts w:ascii="Times New Roman" w:hAnsi="Times New Roman"/>
          <w:color w:val="000000"/>
          <w:sz w:val="20"/>
        </w:rPr>
      </w:pPr>
      <w:r>
        <w:rPr>
          <w:rFonts w:ascii="Times New Roman" w:hAnsi="Times New Roman"/>
          <w:color w:val="000000"/>
          <w:sz w:val="20"/>
        </w:rPr>
        <w:t>On March 21, 2023, the Company entered into a settlement agreement with Ladenburg Thalmann &amp; Co. Inc. (“Ladenburg”) to resolve an action brought by Ladenburg against the Company (the “2023 Ladenburg Agreement”). On March 24, 2023, the Company issued the Ladenburg Warrants to purchase up to 30,000 shares of common stock, exercisable for three years from the date of issuance at $5.424 per share; and agreed to make settlement payments totaling $3.1 million, payable in cash or common stock at the Company’s option. The Company settled these obligations through cash payments of $1.6 million and the issuance of 191,689 shares of common stock. The Ladenburg Warrants expired, unexercised as of March 31, 2026.</w:t>
      </w:r>
    </w:p>
    <w:p>
      <w:pPr>
        <w:pStyle w:val="TextBody"/>
        <w:bidi w:val="0"/>
        <w:spacing w:before="240" w:after="240"/>
        <w:jc w:val="left"/>
        <w:rPr>
          <w:rFonts w:ascii="Times New Roman" w:hAnsi="Times New Roman"/>
          <w:sz w:val="20"/>
        </w:rPr>
      </w:pPr>
      <w:r>
        <w:rPr>
          <w:rFonts w:ascii="Times New Roman" w:hAnsi="Times New Roman"/>
          <w:i/>
          <w:color w:val="000000"/>
          <w:sz w:val="20"/>
        </w:rPr>
        <w:t>Preferred PIPE Placement Agent Warrant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21, 2023, the Company issued to Chardan Capital Markets LLC, the placement agent for the September 2023 Offering, a warrant to purchase 850,119 shares of the Company’s common stock (“the Preferred PIPE Placement Agent Warrants”). The Preferred PIPE Placement Agent Warrants have an exercise price equal to $6.30 per share (subject to adjustment for stock dividends and splits) and are exercisable in whole or in part, at any time or times on or after the issuance date and on or before October 2, 2028. </w:t>
      </w:r>
    </w:p>
    <w:p>
      <w:pPr>
        <w:pStyle w:val="TextBody"/>
        <w:bidi w:val="0"/>
        <w:spacing w:before="240" w:after="240"/>
        <w:jc w:val="left"/>
        <w:rPr>
          <w:rFonts w:ascii="Times New Roman" w:hAnsi="Times New Roman"/>
          <w:sz w:val="20"/>
        </w:rPr>
      </w:pPr>
      <w:r>
        <w:rPr>
          <w:rFonts w:ascii="Times New Roman" w:hAnsi="Times New Roman"/>
          <w:i/>
          <w:color w:val="000000"/>
          <w:sz w:val="20"/>
        </w:rPr>
        <w:t>Preferred PIPE Series B Warrants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21, 2025, the Company issued the Release Date Warrants and Enrollment Date Warrants to various investors as part of the Series B Offering providing for the purchase of up to 500,000 and 1,000,000 shares, respectively, of Series B Preferred Stock at exercise prices of $218.75 and $175.00 per share, respectively. The Release Date Warrants have an expiration of the earlier of five years from the issuance date or the Phase II Release Date (as defined in the Release Date Warrant). The Enrollment Date Warrants have an expiration date of the earlier of five years from the issuance date or the Phase II Enrollment Date (as defined in the Enrollment Date Warrant).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20,100 and 2,000 Enrollment Date Warrants and Release Date Warrants were exercised as of June 30, 2026, respectively. There were no Enrollment Date Warrants or Release Date Warrants exercised as of December 31, 2025.</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Pre-Funded Warrants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March 2026, the Company issued pre</w:t>
        <w:noBreakHyphen/>
        <w:t>funded warrants to purchase up to 2,753,246 shares of common stock at a public offering price of $3.8499 per warrant, which represents the public offering price of $3.85 per share of common stock less the $0.0001 exercise price per share.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warrant activity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578"/>
        <w:gridCol w:w="146"/>
        <w:gridCol w:w="146"/>
        <w:gridCol w:w="937"/>
        <w:gridCol w:w="146"/>
        <w:gridCol w:w="146"/>
        <w:gridCol w:w="158"/>
        <w:gridCol w:w="1010"/>
        <w:gridCol w:w="146"/>
        <w:gridCol w:w="146"/>
        <w:gridCol w:w="193"/>
        <w:gridCol w:w="975"/>
        <w:gridCol w:w="166"/>
        <w:gridCol w:w="146"/>
        <w:gridCol w:w="192"/>
        <w:gridCol w:w="969"/>
        <w:gridCol w:w="166"/>
        <w:gridCol w:w="146"/>
        <w:gridCol w:w="148"/>
        <w:gridCol w:w="949"/>
        <w:gridCol w:w="596"/>
      </w:tblGrid>
      <w:tr>
        <w:trPr/>
        <w:tc>
          <w:tcPr>
            <w:tcW w:w="2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Exercised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Forfeited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June 30, 2026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Equity Classified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PIPE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736,337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PIPE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Ladenburg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PIPE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2,753,246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Liability Classified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Business Combination 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Equity Classified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PIPE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Liability Classified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Tranche 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2643"/>
        <w:gridCol w:w="146"/>
        <w:gridCol w:w="164"/>
        <w:gridCol w:w="882"/>
        <w:gridCol w:w="146"/>
        <w:gridCol w:w="146"/>
        <w:gridCol w:w="159"/>
        <w:gridCol w:w="1015"/>
        <w:gridCol w:w="146"/>
        <w:gridCol w:w="146"/>
        <w:gridCol w:w="339"/>
        <w:gridCol w:w="808"/>
        <w:gridCol w:w="146"/>
        <w:gridCol w:w="146"/>
        <w:gridCol w:w="195"/>
        <w:gridCol w:w="985"/>
        <w:gridCol w:w="166"/>
        <w:gridCol w:w="146"/>
        <w:gridCol w:w="146"/>
        <w:gridCol w:w="938"/>
        <w:gridCol w:w="597"/>
      </w:tblGrid>
      <w:tr>
        <w:trPr/>
        <w:tc>
          <w:tcPr>
            <w:tcW w:w="2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Exercised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Forfeited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December 31,</w:t>
              <w:b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Equity Classified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PIPE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736,337</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PIPE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Ladenburg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PIPE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850,119</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Liability Classified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Business Combination Public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Equity Classified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PIPE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Liability Classified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Tranche B Warrants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Tranche 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107,115</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January 1, 2025, 42,846 Preferred Tranche B Warrants expired, unexercised. The valuation as of December 31, 2024, was based on a risk-free interest rate of 3.93%, an expected remaining term of 0.23 periods, implied volatility of 75%, and an underlying stock price of $309.37.</w:t>
      </w:r>
    </w:p>
    <w:p>
      <w:pPr>
        <w:pStyle w:val="TextBody"/>
        <w:bidi w:val="0"/>
        <w:spacing w:before="0" w:after="240"/>
        <w:jc w:val="left"/>
        <w:rPr>
          <w:rFonts w:ascii="Times New Roman" w:hAnsi="Times New Roman"/>
          <w:sz w:val="20"/>
        </w:rPr>
      </w:pPr>
      <w:r>
        <w:rPr>
          <w:rFonts w:ascii="Times New Roman" w:hAnsi="Times New Roman"/>
          <w:b/>
          <w:i/>
          <w:color w:val="000000"/>
          <w:sz w:val="20"/>
        </w:rPr>
        <w:t>Presentation and Valuation of the Warrants</w:t>
      </w:r>
      <w:r>
        <w:rPr>
          <w:rFonts w:ascii="Times New Roman" w:hAnsi="Times New Roman"/>
          <w:color w:val="000000"/>
          <w:sz w:val="20"/>
        </w:rPr>
        <w:t xml:space="preserve">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Public Warrants and Private Placement Warrants</w:t>
      </w:r>
    </w:p>
    <w:p>
      <w:pPr>
        <w:pStyle w:val="TextBody"/>
        <w:bidi w:val="0"/>
        <w:jc w:val="left"/>
        <w:rPr>
          <w:rFonts w:ascii="Times New Roman" w:hAnsi="Times New Roman"/>
          <w:sz w:val="20"/>
        </w:rPr>
      </w:pPr>
      <w:r>
        <w:rPr>
          <w:rFonts w:ascii="Times New Roman" w:hAnsi="Times New Roman"/>
          <w:color w:val="000000"/>
          <w:sz w:val="20"/>
        </w:rPr>
        <w:t xml:space="preserve">The Public Warrants and Private Placement Warrants are accounted for as liabilities in accordance with ASC 815-40, </w:t>
      </w:r>
      <w:r>
        <w:rPr>
          <w:rFonts w:ascii="Times New Roman" w:hAnsi="Times New Roman"/>
          <w:i/>
          <w:color w:val="000000"/>
          <w:sz w:val="20"/>
        </w:rPr>
        <w:t>Derivatives and Hedging</w:t>
      </w:r>
      <w:r>
        <w:rPr>
          <w:rFonts w:ascii="Times New Roman" w:hAnsi="Times New Roman"/>
          <w:color w:val="000000"/>
          <w:sz w:val="20"/>
        </w:rPr>
        <w:t>—</w:t>
      </w:r>
      <w:r>
        <w:rPr>
          <w:rFonts w:ascii="Times New Roman" w:hAnsi="Times New Roman"/>
          <w:i/>
          <w:color w:val="000000"/>
          <w:sz w:val="20"/>
        </w:rPr>
        <w:t>Contracts in Entity</w:t>
      </w:r>
      <w:r>
        <w:rPr>
          <w:rFonts w:ascii="Times New Roman" w:hAnsi="Times New Roman"/>
          <w:color w:val="000000"/>
          <w:sz w:val="20"/>
        </w:rPr>
        <w:t>’</w:t>
      </w:r>
      <w:r>
        <w:rPr>
          <w:rFonts w:ascii="Times New Roman" w:hAnsi="Times New Roman"/>
          <w:i/>
          <w:color w:val="000000"/>
          <w:sz w:val="20"/>
        </w:rPr>
        <w:t>s Own Equity</w:t>
      </w:r>
      <w:r>
        <w:rPr>
          <w:rFonts w:ascii="Times New Roman" w:hAnsi="Times New Roman"/>
          <w:color w:val="000000"/>
          <w:sz w:val="20"/>
        </w:rPr>
        <w:t xml:space="preserve"> and were presented within warrant liabilities on the condensed consolidated balance sheets as of June 30, 2026 and December 31, 2025. Changes in fair value are recognized within changes in fair value of warrant liabilities in the condensed consolidated statements of operations and comprehensive loss for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established the fair value of the Private Placement Warrants utilizing both the Black-Scholes Merton formula and a Monte Carlo Simulation (the “MCS”) analysis. Specifically, the Company considered an MCS to derive the implied volatility in the publicly-listed price of the Public Warrants. The Company then considered this implied volatility in selecting the volatility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 of a Black-Scholes Merton model for the Private Placement Warrants. The Company determined the fair value of the Public Warrants by reference to the quoted market price.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Public Warrants were classified as a Level 1 fair value measurement, due to the use of the quoted market price, and the Private Placement Warrants held privately by assignees of Big Cypress Holdings LLC, were classified as a Level 3 fair value measurement, due to the use of unobservable inputs. See Note 11, </w:t>
      </w:r>
      <w:r>
        <w:rPr>
          <w:rFonts w:ascii="Times New Roman" w:hAnsi="Times New Roman"/>
          <w:i/>
          <w:color w:val="000000"/>
          <w:sz w:val="20"/>
        </w:rPr>
        <w:t>Fair Value Measurements,</w:t>
      </w:r>
      <w:r>
        <w:rPr>
          <w:rFonts w:ascii="Times New Roman" w:hAnsi="Times New Roman"/>
          <w:color w:val="000000"/>
          <w:sz w:val="20"/>
        </w:rPr>
        <w:t xml:space="preserve"> for changes in fair value of the Private Placement Warrants.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key inputs into the valuations as of June 30, 2026 and December 31, 2025, were as follows: </w:t>
      </w:r>
    </w:p>
    <w:tbl>
      <w:tblPr>
        <w:tblW w:w="7257" w:type="dxa"/>
        <w:jc w:val="left"/>
        <w:tblInd w:w="0" w:type="dxa"/>
        <w:tblLayout w:type="fixed"/>
        <w:tblCellMar>
          <w:top w:w="28" w:type="dxa"/>
          <w:left w:w="28" w:type="dxa"/>
          <w:bottom w:w="28" w:type="dxa"/>
          <w:right w:w="28" w:type="dxa"/>
        </w:tblCellMar>
      </w:tblPr>
      <w:tblGrid>
        <w:gridCol w:w="4501"/>
        <w:gridCol w:w="146"/>
        <w:gridCol w:w="211"/>
        <w:gridCol w:w="571"/>
        <w:gridCol w:w="271"/>
        <w:gridCol w:w="146"/>
        <w:gridCol w:w="294"/>
        <w:gridCol w:w="801"/>
        <w:gridCol w:w="31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remaining (periods)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Implied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common stock price on the measurement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Series A Preferred Warrants</w:t>
      </w:r>
    </w:p>
    <w:p>
      <w:pPr>
        <w:pStyle w:val="TextBody"/>
        <w:bidi w:val="0"/>
        <w:jc w:val="left"/>
        <w:rPr>
          <w:rFonts w:ascii="Times New Roman" w:hAnsi="Times New Roman"/>
          <w:sz w:val="20"/>
        </w:rPr>
      </w:pPr>
      <w:r>
        <w:rPr>
          <w:rFonts w:ascii="Times New Roman" w:hAnsi="Times New Roman"/>
          <w:color w:val="000000"/>
          <w:sz w:val="20"/>
        </w:rPr>
        <w:t xml:space="preserve">The Series A Preferred Warrants are accounted for as liabilities in accordance with ASC 480 and 815-40, </w:t>
      </w:r>
      <w:r>
        <w:rPr>
          <w:rFonts w:ascii="Times New Roman" w:hAnsi="Times New Roman"/>
          <w:i/>
          <w:color w:val="000000"/>
          <w:sz w:val="20"/>
        </w:rPr>
        <w:t>Derivatives and Hedging</w:t>
      </w:r>
      <w:r>
        <w:rPr>
          <w:rFonts w:ascii="Times New Roman" w:hAnsi="Times New Roman"/>
          <w:color w:val="000000"/>
          <w:sz w:val="20"/>
        </w:rPr>
        <w:t>—</w:t>
      </w:r>
      <w:r>
        <w:rPr>
          <w:rFonts w:ascii="Times New Roman" w:hAnsi="Times New Roman"/>
          <w:i/>
          <w:color w:val="000000"/>
          <w:sz w:val="20"/>
        </w:rPr>
        <w:t>Contracts in Entity</w:t>
      </w:r>
      <w:r>
        <w:rPr>
          <w:rFonts w:ascii="Times New Roman" w:hAnsi="Times New Roman"/>
          <w:color w:val="000000"/>
          <w:sz w:val="20"/>
        </w:rPr>
        <w:t>’</w:t>
      </w:r>
      <w:r>
        <w:rPr>
          <w:rFonts w:ascii="Times New Roman" w:hAnsi="Times New Roman"/>
          <w:i/>
          <w:color w:val="000000"/>
          <w:sz w:val="20"/>
        </w:rPr>
        <w:t xml:space="preserve">s Own Equity </w:t>
      </w:r>
      <w:r>
        <w:rPr>
          <w:rFonts w:ascii="Times New Roman" w:hAnsi="Times New Roman"/>
          <w:color w:val="000000"/>
          <w:sz w:val="20"/>
        </w:rPr>
        <w:t>and are presented within warrant liabilities on the condensed consolidated balance sheets as of June 30, 2026 and December 31, 2025. Derivative-liability classification is required because, upon a fundamental transaction, the Company would be obligated to repurchase all outstanding Series A Preferred Warrants for cash equal to the Black-Scholes value of the unexercised portion of each warrant. Changes in fair value are recognized within changes in fair value of warrant liabilities in the condensed consolidated statements of operations and comprehensive loss for six months ended June 30, 2026 and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Series A Preferred Warrants were classified as Level 3 fair value measurements, due to the use of unobservable inputs. See Note 11, </w:t>
      </w:r>
      <w:r>
        <w:rPr>
          <w:rFonts w:ascii="Times New Roman" w:hAnsi="Times New Roman"/>
          <w:i/>
          <w:color w:val="000000"/>
          <w:sz w:val="20"/>
        </w:rPr>
        <w:t>Fair Value Measurements,</w:t>
      </w:r>
      <w:r>
        <w:rPr>
          <w:rFonts w:ascii="Times New Roman" w:hAnsi="Times New Roman"/>
          <w:color w:val="000000"/>
          <w:sz w:val="20"/>
        </w:rPr>
        <w:t xml:space="preserve"> for changes in fair value of the Preferred Warrants. </w:t>
      </w:r>
    </w:p>
    <w:p>
      <w:pPr>
        <w:pStyle w:val="Heading2"/>
        <w:bidi w:val="0"/>
        <w:spacing w:before="120" w:after="120"/>
        <w:jc w:val="left"/>
        <w:rPr>
          <w:rFonts w:ascii="Times New Roman" w:hAnsi="Times New Roman"/>
          <w:b w:val="false"/>
          <w:color w:val="000000"/>
          <w:sz w:val="20"/>
        </w:rPr>
      </w:pPr>
      <w:r>
        <w:rPr>
          <w:rFonts w:ascii="Times New Roman" w:hAnsi="Times New Roman"/>
          <w:b w:val="false"/>
          <w:color w:val="000000"/>
          <w:sz w:val="20"/>
        </w:rPr>
        <w:t>The key inputs utilized in determining the fair value of each Preferred Tranche C Warrant as of June 30, 2026 and December 31, 2025, were as follows:</w:t>
      </w:r>
    </w:p>
    <w:tbl>
      <w:tblPr>
        <w:tblW w:w="6462" w:type="dxa"/>
        <w:jc w:val="left"/>
        <w:tblInd w:w="0" w:type="dxa"/>
        <w:tblLayout w:type="fixed"/>
        <w:tblCellMar>
          <w:top w:w="28" w:type="dxa"/>
          <w:left w:w="28" w:type="dxa"/>
          <w:bottom w:w="28" w:type="dxa"/>
          <w:right w:w="28" w:type="dxa"/>
        </w:tblCellMar>
      </w:tblPr>
      <w:tblGrid>
        <w:gridCol w:w="3601"/>
        <w:gridCol w:w="146"/>
        <w:gridCol w:w="211"/>
        <w:gridCol w:w="676"/>
        <w:gridCol w:w="271"/>
        <w:gridCol w:w="146"/>
        <w:gridCol w:w="260"/>
        <w:gridCol w:w="835"/>
        <w:gridCol w:w="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remaining (periods)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Implied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Underlying Stock Price (Preferred 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Reflects a probability-weighted input derived from multiple Black-Scholes calculations. These calculations incorporate the Company’s estimated probability of survival, assuming SABS’ intellectual property yields positive results in forthcoming clinical trials, allowing the Company to continue as a going concern rather than face dissolution before 2028. The probability of survival was 57.5% and 40.0%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(11) Fair Value Measurements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tables present information about the Company's assets and liabilities that are measured at fair value on a recurring basis at June 30, 2026 and December 31, 2025, and indicate the fair value hierarchy of the valuation inputs the Company utilized to determine such fair value (in thousands):</w:t>
      </w:r>
    </w:p>
    <w:tbl>
      <w:tblPr>
        <w:tblW w:w="8495" w:type="dxa"/>
        <w:jc w:val="left"/>
        <w:tblInd w:w="0" w:type="dxa"/>
        <w:tblLayout w:type="fixed"/>
        <w:tblCellMar>
          <w:top w:w="28" w:type="dxa"/>
          <w:left w:w="28" w:type="dxa"/>
          <w:bottom w:w="28" w:type="dxa"/>
          <w:right w:w="28" w:type="dxa"/>
        </w:tblCellMar>
      </w:tblPr>
      <w:tblGrid>
        <w:gridCol w:w="3071"/>
        <w:gridCol w:w="146"/>
        <w:gridCol w:w="211"/>
        <w:gridCol w:w="781"/>
        <w:gridCol w:w="146"/>
        <w:gridCol w:w="146"/>
        <w:gridCol w:w="211"/>
        <w:gridCol w:w="781"/>
        <w:gridCol w:w="146"/>
        <w:gridCol w:w="146"/>
        <w:gridCol w:w="352"/>
        <w:gridCol w:w="579"/>
        <w:gridCol w:w="146"/>
        <w:gridCol w:w="146"/>
        <w:gridCol w:w="295"/>
        <w:gridCol w:w="801"/>
        <w:gridCol w:w="3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Public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Tranche C Preferred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85" w:type="dxa"/>
        <w:jc w:val="left"/>
        <w:tblInd w:w="0" w:type="dxa"/>
        <w:tblLayout w:type="fixed"/>
        <w:tblCellMar>
          <w:top w:w="28" w:type="dxa"/>
          <w:left w:w="28" w:type="dxa"/>
          <w:bottom w:w="28" w:type="dxa"/>
          <w:right w:w="28" w:type="dxa"/>
        </w:tblCellMar>
      </w:tblPr>
      <w:tblGrid>
        <w:gridCol w:w="3071"/>
        <w:gridCol w:w="146"/>
        <w:gridCol w:w="211"/>
        <w:gridCol w:w="676"/>
        <w:gridCol w:w="146"/>
        <w:gridCol w:w="146"/>
        <w:gridCol w:w="211"/>
        <w:gridCol w:w="676"/>
        <w:gridCol w:w="146"/>
        <w:gridCol w:w="146"/>
        <w:gridCol w:w="251"/>
        <w:gridCol w:w="680"/>
        <w:gridCol w:w="146"/>
        <w:gridCol w:w="146"/>
        <w:gridCol w:w="295"/>
        <w:gridCol w:w="801"/>
        <w:gridCol w:w="3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Public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Private Placement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Tranche C Preferred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provides a summary of the changes in Level 3 fair value measurements for the Private Placement Warrant liability: </w:t>
      </w:r>
    </w:p>
    <w:tbl>
      <w:tblPr>
        <w:tblW w:w="5715" w:type="dxa"/>
        <w:jc w:val="left"/>
        <w:tblInd w:w="0" w:type="dxa"/>
        <w:tblLayout w:type="fixed"/>
        <w:tblCellMar>
          <w:top w:w="28" w:type="dxa"/>
          <w:left w:w="28" w:type="dxa"/>
          <w:bottom w:w="28" w:type="dxa"/>
          <w:right w:w="28" w:type="dxa"/>
        </w:tblCellMar>
      </w:tblPr>
      <w:tblGrid>
        <w:gridCol w:w="4876"/>
        <w:gridCol w:w="146"/>
        <w:gridCol w:w="211"/>
        <w:gridCol w:w="271"/>
        <w:gridCol w:w="21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provides a summary of the changes in Level 3 fair value measurements for the Preferred Warrant liabilities: </w:t>
      </w:r>
    </w:p>
    <w:tbl>
      <w:tblPr>
        <w:tblW w:w="5680" w:type="dxa"/>
        <w:jc w:val="left"/>
        <w:tblInd w:w="0" w:type="dxa"/>
        <w:tblLayout w:type="fixed"/>
        <w:tblCellMar>
          <w:top w:w="28" w:type="dxa"/>
          <w:left w:w="28" w:type="dxa"/>
          <w:bottom w:w="28" w:type="dxa"/>
          <w:right w:w="28" w:type="dxa"/>
        </w:tblCellMar>
      </w:tblPr>
      <w:tblGrid>
        <w:gridCol w:w="4561"/>
        <w:gridCol w:w="146"/>
        <w:gridCol w:w="211"/>
        <w:gridCol w:w="571"/>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the Preferred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the Preferred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did not have any other assets or liabilities that are recorded at fair value on a recurring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 carrying amounts of its cash and cash equivalents, accrued interest receivable, accounts payable, accrued expenses and other current liabilities approximate their fair values due to their near-term maturities.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Investments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Available-For-Sale Debt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At June 30, 2026, the fair value and amortized cost of the Company’s available-for-sale debt securities, summarized by type of security, consisted of the following (in thousands): </w:t>
      </w:r>
    </w:p>
    <w:tbl>
      <w:tblPr>
        <w:tblW w:w="8551" w:type="dxa"/>
        <w:jc w:val="left"/>
        <w:tblInd w:w="0" w:type="dxa"/>
        <w:tblLayout w:type="fixed"/>
        <w:tblCellMar>
          <w:top w:w="28" w:type="dxa"/>
          <w:left w:w="28" w:type="dxa"/>
          <w:bottom w:w="28" w:type="dxa"/>
          <w:right w:w="28" w:type="dxa"/>
        </w:tblCellMar>
      </w:tblPr>
      <w:tblGrid>
        <w:gridCol w:w="2151"/>
        <w:gridCol w:w="146"/>
        <w:gridCol w:w="265"/>
        <w:gridCol w:w="980"/>
        <w:gridCol w:w="146"/>
        <w:gridCol w:w="146"/>
        <w:gridCol w:w="510"/>
        <w:gridCol w:w="840"/>
        <w:gridCol w:w="146"/>
        <w:gridCol w:w="146"/>
        <w:gridCol w:w="420"/>
        <w:gridCol w:w="960"/>
        <w:gridCol w:w="166"/>
        <w:gridCol w:w="146"/>
        <w:gridCol w:w="211"/>
        <w:gridCol w:w="781"/>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At December 31, 2025, the fair value and amortized cost of the Company’s available-for-sale debt securities, summarized by type of security, consisted of the following (in thousands):</w:t>
      </w:r>
    </w:p>
    <w:tbl>
      <w:tblPr>
        <w:tblW w:w="8446" w:type="dxa"/>
        <w:jc w:val="left"/>
        <w:tblInd w:w="0" w:type="dxa"/>
        <w:tblLayout w:type="fixed"/>
        <w:tblCellMar>
          <w:top w:w="28" w:type="dxa"/>
          <w:left w:w="28" w:type="dxa"/>
          <w:bottom w:w="28" w:type="dxa"/>
          <w:right w:w="28" w:type="dxa"/>
        </w:tblCellMar>
      </w:tblPr>
      <w:tblGrid>
        <w:gridCol w:w="2151"/>
        <w:gridCol w:w="146"/>
        <w:gridCol w:w="296"/>
        <w:gridCol w:w="949"/>
        <w:gridCol w:w="146"/>
        <w:gridCol w:w="146"/>
        <w:gridCol w:w="449"/>
        <w:gridCol w:w="901"/>
        <w:gridCol w:w="146"/>
        <w:gridCol w:w="146"/>
        <w:gridCol w:w="495"/>
        <w:gridCol w:w="885"/>
        <w:gridCol w:w="166"/>
        <w:gridCol w:w="146"/>
        <w:gridCol w:w="211"/>
        <w:gridCol w:w="676"/>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amortized cost and estimated fair value by maturity or next repricing date of investment securities at June 30, 2026 are shown in the following table. Fixed rate securities are classified according to their contractual maturities without consideration of principal amortization, potential prepayments or call options. Accordingly, actual maturities may differ from contractual maturities.</w:t>
      </w:r>
    </w:p>
    <w:tbl>
      <w:tblPr>
        <w:tblW w:w="4847" w:type="dxa"/>
        <w:jc w:val="left"/>
        <w:tblInd w:w="0" w:type="dxa"/>
        <w:tblLayout w:type="fixed"/>
        <w:tblCellMar>
          <w:top w:w="28" w:type="dxa"/>
          <w:left w:w="28" w:type="dxa"/>
          <w:bottom w:w="28" w:type="dxa"/>
          <w:right w:w="28" w:type="dxa"/>
        </w:tblCellMar>
      </w:tblPr>
      <w:tblGrid>
        <w:gridCol w:w="1981"/>
        <w:gridCol w:w="146"/>
        <w:gridCol w:w="265"/>
        <w:gridCol w:w="980"/>
        <w:gridCol w:w="146"/>
        <w:gridCol w:w="146"/>
        <w:gridCol w:w="211"/>
        <w:gridCol w:w="78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shows gross unrealized losses and fair values of available-for-sale securities for which an allowance for credit losses has not been recorded, aggregated by investment category and length of time that individual securities have been in a continuous loss position as of June 30, 2026 (in thousands, except for number of securities):</w:t>
      </w:r>
    </w:p>
    <w:tbl>
      <w:tblPr>
        <w:tblW w:w="11736" w:type="dxa"/>
        <w:jc w:val="left"/>
        <w:tblInd w:w="0" w:type="dxa"/>
        <w:tblLayout w:type="fixed"/>
        <w:tblCellMar>
          <w:top w:w="28" w:type="dxa"/>
          <w:left w:w="28" w:type="dxa"/>
          <w:bottom w:w="28" w:type="dxa"/>
          <w:right w:w="28" w:type="dxa"/>
        </w:tblCellMar>
      </w:tblPr>
      <w:tblGrid>
        <w:gridCol w:w="1366"/>
        <w:gridCol w:w="146"/>
        <w:gridCol w:w="235"/>
        <w:gridCol w:w="606"/>
        <w:gridCol w:w="146"/>
        <w:gridCol w:w="146"/>
        <w:gridCol w:w="196"/>
        <w:gridCol w:w="691"/>
        <w:gridCol w:w="146"/>
        <w:gridCol w:w="146"/>
        <w:gridCol w:w="245"/>
        <w:gridCol w:w="641"/>
        <w:gridCol w:w="146"/>
        <w:gridCol w:w="146"/>
        <w:gridCol w:w="249"/>
        <w:gridCol w:w="592"/>
        <w:gridCol w:w="146"/>
        <w:gridCol w:w="146"/>
        <w:gridCol w:w="196"/>
        <w:gridCol w:w="346"/>
        <w:gridCol w:w="146"/>
        <w:gridCol w:w="146"/>
        <w:gridCol w:w="320"/>
        <w:gridCol w:w="566"/>
        <w:gridCol w:w="146"/>
        <w:gridCol w:w="146"/>
        <w:gridCol w:w="235"/>
        <w:gridCol w:w="606"/>
        <w:gridCol w:w="146"/>
        <w:gridCol w:w="146"/>
        <w:gridCol w:w="196"/>
        <w:gridCol w:w="691"/>
        <w:gridCol w:w="146"/>
        <w:gridCol w:w="146"/>
        <w:gridCol w:w="245"/>
        <w:gridCol w:w="641"/>
        <w:gridCol w:w="3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shows gross unrealized losses and fair values of available-for-sale securities for which an allowance for credit losses has not been recorded, aggregated by investment category and length of time that individual securities have been in a continuous loss position as of December 31, 2025 (in thousands, except for number of securities):</w:t>
      </w:r>
    </w:p>
    <w:tbl>
      <w:tblPr>
        <w:tblW w:w="11376" w:type="dxa"/>
        <w:jc w:val="left"/>
        <w:tblInd w:w="0" w:type="dxa"/>
        <w:tblLayout w:type="fixed"/>
        <w:tblCellMar>
          <w:top w:w="28" w:type="dxa"/>
          <w:left w:w="28" w:type="dxa"/>
          <w:bottom w:w="28" w:type="dxa"/>
          <w:right w:w="28" w:type="dxa"/>
        </w:tblCellMar>
      </w:tblPr>
      <w:tblGrid>
        <w:gridCol w:w="1366"/>
        <w:gridCol w:w="146"/>
        <w:gridCol w:w="284"/>
        <w:gridCol w:w="557"/>
        <w:gridCol w:w="146"/>
        <w:gridCol w:w="146"/>
        <w:gridCol w:w="196"/>
        <w:gridCol w:w="511"/>
        <w:gridCol w:w="146"/>
        <w:gridCol w:w="146"/>
        <w:gridCol w:w="360"/>
        <w:gridCol w:w="526"/>
        <w:gridCol w:w="146"/>
        <w:gridCol w:w="146"/>
        <w:gridCol w:w="249"/>
        <w:gridCol w:w="592"/>
        <w:gridCol w:w="146"/>
        <w:gridCol w:w="146"/>
        <w:gridCol w:w="196"/>
        <w:gridCol w:w="346"/>
        <w:gridCol w:w="146"/>
        <w:gridCol w:w="146"/>
        <w:gridCol w:w="320"/>
        <w:gridCol w:w="566"/>
        <w:gridCol w:w="146"/>
        <w:gridCol w:w="146"/>
        <w:gridCol w:w="284"/>
        <w:gridCol w:w="557"/>
        <w:gridCol w:w="146"/>
        <w:gridCol w:w="146"/>
        <w:gridCol w:w="196"/>
        <w:gridCol w:w="511"/>
        <w:gridCol w:w="146"/>
        <w:gridCol w:w="146"/>
        <w:gridCol w:w="360"/>
        <w:gridCol w:w="526"/>
        <w:gridCol w:w="3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unrealized losses on the Company’s available-for-sale debt securities as of June 30, 2026 and December 31, 2025 were caused by fluctuations in market value and interest rates as a result of the economic environment. The Company concluded that an allowance for credit losses was unnecessary as of June 30, 2026 and December 31, 2025 because the decline in the market value was attributable to changes in market conditions and not credit quality, and that it is neither management’s intention to sell nor is it more likely than not that the Company will be required to sell these investments prior to recovery.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Gross realized gains and losses on the sale of short-term and long-term investments are included in other income in the Company’s condensed consolidated statements of operations and comprehensive loss. The following table summarizes the Company’s gross realized gains and losses on the sale of available-for-sale debt securities:</w:t>
      </w:r>
    </w:p>
    <w:tbl>
      <w:tblPr>
        <w:tblW w:w="4962" w:type="dxa"/>
        <w:jc w:val="left"/>
        <w:tblInd w:w="0" w:type="dxa"/>
        <w:tblLayout w:type="fixed"/>
        <w:tblCellMar>
          <w:top w:w="28" w:type="dxa"/>
          <w:left w:w="28" w:type="dxa"/>
          <w:bottom w:w="28" w:type="dxa"/>
          <w:right w:w="28" w:type="dxa"/>
        </w:tblCellMar>
      </w:tblPr>
      <w:tblGrid>
        <w:gridCol w:w="1786"/>
        <w:gridCol w:w="146"/>
        <w:gridCol w:w="408"/>
        <w:gridCol w:w="611"/>
        <w:gridCol w:w="321"/>
        <w:gridCol w:w="282"/>
        <w:gridCol w:w="408"/>
        <w:gridCol w:w="669"/>
        <w:gridCol w:w="3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realized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realized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interest receivable related to the above investment securities was $1.8 million and $0.9 million at June 30, 2026 and December 31, 2025, respectively, and is included within accrued interest receivable on the condensed consolidated balance sheets.</w:t>
      </w:r>
    </w:p>
    <w:p>
      <w:pPr>
        <w:pStyle w:val="TextBody"/>
        <w:bidi w:val="0"/>
        <w:spacing w:before="240" w:after="240"/>
        <w:jc w:val="left"/>
        <w:rPr>
          <w:rFonts w:ascii="Times New Roman" w:hAnsi="Times New Roman"/>
          <w:sz w:val="20"/>
        </w:rPr>
      </w:pPr>
      <w:r>
        <w:rPr>
          <w:rFonts w:ascii="Times New Roman" w:hAnsi="Times New Roman"/>
          <w:b/>
          <w:i/>
          <w:color w:val="000000"/>
          <w:sz w:val="20"/>
        </w:rPr>
        <w:t>Equity Securities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holds investments in mutual funds that are classified as equity securities, primarily representing diversified portfolios of publicly traded equity instruments managed by third-party investment advisors. As of June 30, 2026 and December 31, 2025, the Company had $14.0 million and $59.1 million, respectively, of equity securities included within short-term investments on the condensed consolidated balance sheets. The following is a summary of unrealized and realized gains (losses) recognized on equity securities included in other income (expense) in the condensed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9"/>
        <w:gridCol w:w="146"/>
        <w:gridCol w:w="327"/>
        <w:gridCol w:w="537"/>
        <w:gridCol w:w="226"/>
        <w:gridCol w:w="226"/>
        <w:gridCol w:w="327"/>
        <w:gridCol w:w="584"/>
        <w:gridCol w:w="166"/>
        <w:gridCol w:w="146"/>
        <w:gridCol w:w="368"/>
        <w:gridCol w:w="656"/>
        <w:gridCol w:w="289"/>
        <w:gridCol w:w="254"/>
        <w:gridCol w:w="368"/>
        <w:gridCol w:w="656"/>
        <w:gridCol w:w="220"/>
      </w:tblGrid>
      <w:tr>
        <w:trPr/>
        <w:tc>
          <w:tcPr>
            <w:tcW w:w="4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gains (losses)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Realized net gains (losses) recognized on equity securities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net gains (losses) recognized on equity securities held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(13) Commitments and Contingencies</w:t>
      </w:r>
    </w:p>
    <w:p>
      <w:pPr>
        <w:pStyle w:val="TextBody"/>
        <w:bidi w:val="0"/>
        <w:jc w:val="left"/>
        <w:rPr>
          <w:rFonts w:ascii="Times New Roman" w:hAnsi="Times New Roman"/>
          <w:color w:val="000000"/>
          <w:sz w:val="20"/>
        </w:rPr>
      </w:pPr>
      <w:r>
        <w:rPr>
          <w:rFonts w:ascii="Times New Roman" w:hAnsi="Times New Roman"/>
          <w:color w:val="000000"/>
          <w:sz w:val="20"/>
        </w:rPr>
        <w:t>The Company is not a party to any litigation, and, to its best knowledge, no action, suit, or proceeding has been threatened against the Company which are expected to have a material adverse effect on its financial condition, results of operations or liquidity.</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Fortrea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October 2024, the Company entered into a clinical master services agreement and work orders with Fortrea Holdings Inc. (“Fortrea”) to act as the contract research organization (“CRO”) overseeing the Company’s Phase 2b registrational study for SAB-142. Approximately $6.5 million and $1.8 million were expensed with respect to the Fortrea agreements during the six months ended June 30, 2026 and 2025, respectively, which amounts are included in research and development expenses in the accompanying condensed consolidated statements of operations and comprehensive loss.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Manufacturing Service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April 28, 2026, the Company entered into a Master Manufacturing Services Agreement (the “MSA”) with Emergent BioSolutions Canada Inc. (“Emergent”), under which Emergent will perform clinical and commercial manufacturing services for SAB-142 (the “Product”) at its facility in Canada. The MSA runs for five years from FDA approval of the Product, with a minimum aggregate spend of $36.0 million following approval, and grants Emergent exclusive manufacturing rights for the Product during the term, subject to limited exceptions if Emergent is unable or declines to manufacture. In May 2026, the Company entered into a work order under the MSA and expensed approximately $0.4 million to research and development during the six months ended June 30, 2026, which is included in research and development expenses in the accompanying condensed consolidated statements of operations and comprehensive loss. The Company expects to make substantial additional payments to Emergent over the next 24 to 36 months for services and pass-through costs, including production equipment purchases.</w:t>
      </w:r>
    </w:p>
    <w:p>
      <w:pPr>
        <w:pStyle w:val="Heading2"/>
        <w:bidi w:val="0"/>
        <w:spacing w:before="200" w:after="240"/>
        <w:jc w:val="left"/>
        <w:rPr>
          <w:rFonts w:ascii="Times New Roman" w:hAnsi="Times New Roman"/>
          <w:color w:val="000000"/>
          <w:sz w:val="20"/>
        </w:rPr>
      </w:pPr>
      <w:r>
        <w:rPr>
          <w:rFonts w:ascii="Times New Roman" w:hAnsi="Times New Roman"/>
          <w:color w:val="000000"/>
          <w:sz w:val="20"/>
        </w:rPr>
        <w:t>(14) Segment Reporting</w:t>
      </w:r>
    </w:p>
    <w:p>
      <w:pPr>
        <w:pStyle w:val="TextBody"/>
        <w:bidi w:val="0"/>
        <w:jc w:val="left"/>
        <w:rPr>
          <w:rFonts w:ascii="Times New Roman" w:hAnsi="Times New Roman"/>
          <w:color w:val="000000"/>
          <w:sz w:val="20"/>
        </w:rPr>
      </w:pPr>
      <w:r>
        <w:rPr>
          <w:rFonts w:ascii="Times New Roman" w:hAnsi="Times New Roman"/>
          <w:color w:val="000000"/>
          <w:sz w:val="20"/>
        </w:rPr>
        <w:t>Operating segments are defined as components of the entity for which separate financial information is made available and that is regularly evaluated by the chief operating decision maker (CODM) in making decisions regarding resource allocation and assessing performance. The Company's CODM is its chief executive officer and the Company manages its operations as a single segment for the purposes of assessing performance and making operating decisions. The Company is focused on the development of a human anti-thymocyte globulin focused on preventing or delaying the progression of T1D.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the Company's performance by reviewing GAAP operating expense and significant expenses by function along with the annual budget. The chief operating decision maker considers budget-to-actual variances on a quarterly basis when making decisions about the allocation of operating and capital resources.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is representative of the significant expense categories regularly provided to the CODM when managing the Company's single reporting segment. A reconciliation to condensed consolidated operating expenses as our single segment operating loss for the three and six months ended June 30, 2026 and 2025, is included in the table below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87" w:type="dxa"/>
        <w:jc w:val="left"/>
        <w:tblInd w:w="0" w:type="dxa"/>
        <w:tblLayout w:type="fixed"/>
        <w:tblCellMar>
          <w:top w:w="28" w:type="dxa"/>
          <w:left w:w="28" w:type="dxa"/>
          <w:bottom w:w="28" w:type="dxa"/>
          <w:right w:w="28" w:type="dxa"/>
        </w:tblCellMar>
      </w:tblPr>
      <w:tblGrid>
        <w:gridCol w:w="4396"/>
        <w:gridCol w:w="146"/>
        <w:gridCol w:w="316"/>
        <w:gridCol w:w="969"/>
        <w:gridCol w:w="235"/>
        <w:gridCol w:w="235"/>
        <w:gridCol w:w="316"/>
        <w:gridCol w:w="823"/>
        <w:gridCol w:w="146"/>
        <w:gridCol w:w="146"/>
        <w:gridCol w:w="215"/>
        <w:gridCol w:w="659"/>
        <w:gridCol w:w="160"/>
        <w:gridCol w:w="160"/>
        <w:gridCol w:w="215"/>
        <w:gridCol w:w="659"/>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trial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 supplies and animal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 services, consulting, and other direct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19,993</w:t>
            </w:r>
          </w:p>
        </w:tc>
        <w:tc>
          <w:tcPr>
            <w:tcW w:w="1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based compensation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3,767</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16,172</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Administrative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 and travel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Insurance, office expense, and other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based compensation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6,078</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7,205</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23,377</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43,375</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condensed consolidated balance sheets as cash and cash equivalents and short-term and long-term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are reported on the condensed consolidated balance sheets as property, plant and equipment, net of accumulated depreciation and these assets are held in the U.S.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(15) Subsequent Events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Exercise of Enrollment Date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2026, 74,933 Enrollment Date Warrants were exercised for 74,933 shares of Series B Preferred Stock for aggregate gross proceeds of $13.1 million, which were converted into 7,493,300 shares of the Company’s common stock. Following these exercises, Enrollment Date Warrants exercisable for 90,496,700 shares of common stock remained outstanding as of the date of issuance of these financial statements.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Breakthrough T1D Grant and PRISE-hATG Study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2026, Breakthrough T1D awarded a grant to support the investigator-led Phase 3 clinical trial, called the PRISE-hATG study, evaluating SAB-142 in patients with Stage 3 T1D who are between 100 days and two years from diagnosis. The Company is co-funding the study. The PRISE-hATG study is a registrational clinical trial that could expand the potential future label of SAB-142 to patients with Stage 3 T1D with onset up to two years from diagnosis. The Company has committed to provide funding of up to $1.4 million to Breakthrough T1D, and has also agreed to make additional payments to Breakthrough T1D of up to five times the Actual Award (as defined in the agreement, subject to an Actual Award cap of $3.9 million), payable upon the occurrence of certain contingencies, including but not limited to regulatory approval of SAB-142 or certain related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You should read the following discussion and analysis of our financial condition and results of operations together with our consolidated financial statements and the accompanying notes included in Part I, Item 1 of this Form 10-Q. Some of the information contained in this discussion and analysis contains forward-looking statements that involve risks, uncertainties, and assumptions. As a result of many factors, including those factors set forth in the section titled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 xml:space="preserve">our actual results could differ materially from those discussed in or implied by these forward-looking statements. Factors that could cause or contribute to such differences include, but are not limited to, those discussed in the section titled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 xml:space="preserve">Please also refer to the section titled </w:t>
      </w:r>
      <w:r>
        <w:rPr>
          <w:rFonts w:ascii="Times New Roman" w:hAnsi="Times New Roman"/>
          <w:color w:val="000000"/>
          <w:sz w:val="20"/>
        </w:rPr>
        <w:t>“</w:t>
      </w:r>
      <w:r>
        <w:rPr>
          <w:rFonts w:ascii="Times New Roman" w:hAnsi="Times New Roman"/>
          <w:i/>
          <w:color w:val="000000"/>
          <w:sz w:val="20"/>
        </w:rPr>
        <w:t>Special Note Regarding Forward Looking Statements.</w:t>
      </w:r>
      <w:r>
        <w:rPr>
          <w:rFonts w:ascii="Times New Roman" w:hAnsi="Times New Roman"/>
          <w:color w:val="000000"/>
          <w:sz w:val="20"/>
        </w:rPr>
        <w:t>”</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Special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or “Form 10-Q”) includes “forward-looking statements” within the meaning of Section 27A of the Securities Act of 1933, as amended (the “Securities Act”) and Section 21E of the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our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involve known and unknown risks,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 addition, historic results, including results from preclinical studies and clinical trials of SAB-142 and other product candidates; do not guarantee that future research or trials will suggest the same conclusions, nor that historic results referred to herein will be interpreted in the same manner due to future preclinical and clinical trial results or otherwise. For information identifying important factors that could cause actual results to differ materially from those anticipated in the forward-looking statements, please refer to the sections entitled “Risk Factors” in this Quarterly Report, our most recent Annual Report on Form 10-K, subsequent Quarterly Reports on Form 10-Q, and other periodic reports filed with the Securities and Exchange Commission (the “SEC”) and available at https://www.sec.gov/. Readers are cautioned not to place undue reliance on these forward-looking statements, which speak only as of the date hereof. Except as expressly required by applicable law, we disclaim any intention or obligation to update or revise any forward-looking statements whether as a result of new information, future events or otherwise. Although we believe that the expectations reflected in the forward-looking statements are reasonable, we cannot guarantee future results, levels of activity, performance, or achievements.</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Company 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clinical-stage biopharmaceutical company focused on developing multi-specific, high-potency, human immunoglobulin G (hIgG) to treat and prevent immune and autoimmune disorders. Our programs are based on mechanisms of action that have achieved proof-of-concept in clinical trials in indications with significant unmet medical needs. We are focused on developing product candidates for disease targets where a differentiated approach has the greatest potential to be either first-in-class against novel targets or best-in-class against complex targets to treat diseases, including type 1 diabetes (T1D) and other autoimmune disorders. Our lead candidate, SAB-142, targets autoimmune T1D with a disease-modifying therapeutic approach that aims to change the T1D treatment paradigm by delaying onset and potentially preventing disease progression of Stage 3 T1D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advanced genetic engineering and antibody science, we developed a proprietary technology which holds the potential to generate additional novel therapeutic candidates utilizing the human immune response, without the need for human donors or convalescent plasma. We believe it is the only technology capable of producing disease-targeted, hIgG in large quantities without human plasma donors.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optimized genetic engineering in the development of transchromosomic cattle, or Tc-Bovine, to produce hIgG. Our engineering of our production platform drives IgG1 production across our pipeline. In addition, this differentiated approach using polyclonal antibodies has no biosimilar pathway, which provides a significant barrier to competitive polyclonal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platform holds the potential to generate additional novel therapeutic candidates to expand our pipeline, utilizing the human immune response to generate the optimal repertoire of hIgG for drug targets of interest. Our drug development production system is able to generate a diverse repertoire of specifically targeted, high-potency, hIgGs that can bind to multiple sites on targeted immunogens, making them ideally suited to address the complexities associated with many immune-mediated disorders and address a wide range of serious unmet needs in human diseases.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SAB-142: Our Lead Product Candidate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wholly owned lead product candidate, SAB-142 is a potentially disease-modifying, redosable immunotherapy in clinical development for the treatment of autoimmune type 1 diabetes (T1D). SAB-142 is a multi-specific, fully human anti-thymocyte globulin (hATG) with a mechanism of action analogous to that of rabbit ATG (rATG). rATG has demonstrated in multiple clinical trials the ability to slow disease progression in patients with new- or recent-onset of Stage 3 T1D. SAB-142, like rATG, directly targets multiple immune cells involved in destroying pancreatic beta cells, including modulation of “bad acting” T-lymphocytes. By stopping immune cells from attacking beta cells, this treatment has the potential to preserve insulin-producing beta cells. The mechanism of action of SAB-142 has been clinically validated in numerous clinical trials with a rabbit anti-thymocyte globulin (rATG). In addition, data from more than 800 human subjects have been treated with antibodies produced by our platform, including in the Phase 1 study of SAB-142, and we have seen no serum sickness rate and no incidence of neutralizing anti-drug antibodies (ADA). We expect this finding to continue through the clinical development of SAB-142.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is an established regulatory path for T1D indications using the SAB-142 modality. Our regulatory pathway has also been established with the United States Food and Drug Administration (FDA), the United Kingdom Medicines and Healthcare products Regulatory Agency (MHRA), and the Therapeutic Goods Administration (TGA) in Australia. The FDA regulates polyclonal hIgG and monoclonal antibodies (mAbs) differently, as mAbs are regulated through the Center for Drug Evaluation and Research (CDER) while polyclonal antibodies (pAbs) are regulated by the Center for Biologics Evaluation and Research (CBER). CBER has approved more than 30 immunoglobulin products from both human- and animal-derived plasma. Further, CBER is very familiar with our production platform and pAb products. We have navigated three SAB drug products through seven clinical trials with one product having advanced to Phase 3, building our safety database as well as positive efficacy data. As our lead program SAB-142 advances, we intend to expand our pipeline in complementary indications through strategic utilization of our platform.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received an Investigational New Drug (IND) clearance from the FDA in May 2024 and announced positive topline data from our Phase 1 clinical trial of SAB-142 in January 2025, and December 2025. We initiated our pivotal Phase 2b clinical trial, called the SAFEGUARD study, in Q3 2025 and dosed the first patient in December 2025 with enrollment ongoing across multiple clinical trial sites in U.S., Australia, New Zealand, U.K. and European Union. SAFEGUARD Part A, a dose-ranging study in adult patients, completed enrollment in Q1 2026. SAFEGUARD Part B, a randomized double-blind, placebo-controlled, dose-ranging study, is actively enrolling. Upon Part A and B completion, all patients, including the placebo-control group, with residual beta cells at 12 months are eligible for the 12-month long-term efficacy and safety extension study (Part 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2026, we announced additional Phase 1 data demonstrating early signals of C-peptide preservation in adult patients with established autoimmune T1D, consistent with SAB-142's anticipated mechanism of action. In April 2026, we presented additional clinical and mechanistic data from our Phase 1 clinical trial of SAB-142 in adult patients with established autoimmune T1D. The Phase 1 T1D cohort included six adult participants (n=6), with four receiving SAB-142 at 2.5 mg/kg (n=4) and two receiving placebo (n=2). Participants ranged in age from 19 to 40 years. All participants with established T1D (Stage 3 T1D diagnosis within 28-40 months at the time of randomization) had residual beta cell function (C-peptide &gt;0.2 nmol/L) and at least one T1D autoantibody at baseline. Phase 1 exploratory efficacy endpoints were measured at the End of Study Day 120 post SAB-142 administration. One placebo participant (n=1) completed through Day 120 as the other placebo participant discontinued early due to personal reasons. The results for SAB-142 highlighted C-peptide preservation, correlated with evidence of T cell exhaustion. Of the four SAB-142-treated participants, three demonstrated a super responder profile with C-peptide levels at or above baseline at Day 120. SAB-142 treated participants showed improved glycemic control, with mean time in range increasing from 73% at baseline to 85% at Day 120, without an associated increase in exogenous insulin use.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2025, we confirmed our intent with the FDA to utilize the data from the SAFEGUARD study as supportive evidence for future regulatory approval. In April 2026, we received written correspondence from the FDA confirming that C-peptide area under the curve (AUC) may serve as a surrogate endpoint for accelerated approval.</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Other Immunology Indications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 and B-cells are multifunctional lymphocytes whose dysregulation was shown to have a central role in the pathogenesis of more than 80 autoimmune diseases, including T1D, systemic lupus erythematosus (SLE), rheumatoid arthritis (RA), multiple sclerosis (MS) and celiac disease. The therapeutic success to date of lymphocyte-mediating therapies in a variety of autoimmune diseases and our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in vitro</w:t>
      </w:r>
      <w:r>
        <w:rPr>
          <w:rFonts w:ascii="Times New Roman" w:hAnsi="Times New Roman"/>
          <w:color w:val="000000"/>
          <w:sz w:val="20"/>
        </w:rPr>
        <w:t xml:space="preserve"> pre-clinical and Phase 1 work from SAB-142 in T1D support direct progression into Phase 2 in other autoimmune indications.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Key Developments</w:t>
      </w:r>
    </w:p>
    <w:p>
      <w:pPr>
        <w:pStyle w:val="TextBody"/>
        <w:bidi w:val="0"/>
        <w:jc w:val="left"/>
        <w:rPr>
          <w:rFonts w:ascii="Times New Roman" w:hAnsi="Times New Roman"/>
          <w:color w:val="000000"/>
          <w:sz w:val="20"/>
        </w:rPr>
      </w:pPr>
      <w:r>
        <w:rPr>
          <w:rFonts w:ascii="Times New Roman" w:hAnsi="Times New Roman"/>
          <w:color w:val="000000"/>
          <w:sz w:val="20"/>
        </w:rPr>
        <w:t>In July 2026, Breakthrough T1D awarded a grant to support the investigator</w:t>
        <w:noBreakHyphen/>
        <w:t>led Phase 3 clinical trial, called the PRISE</w:t>
        <w:noBreakHyphen/>
        <w:t>hATG study, evaluating SAB</w:t>
        <w:noBreakHyphen/>
        <w:t xml:space="preserve">142 in patients with Stage 3 T1D who are between 100 days and two years from diagnosis. We are co-funding the study. The PRISE-hATG study is a registrational clinical trial that could expand the potential future label of SAB-142 to patients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Stage 3 T1D with onset up to two years from diagnosis.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Q2 2026, we began construction of a second farm facility in South Dakota to increase manufacturing capacity and establish a redundant herd to support long-term commercial supply for SAB-142.</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Components of Results of Operations</w:t>
      </w:r>
    </w:p>
    <w:p>
      <w:pPr>
        <w:pStyle w:val="TextBody"/>
        <w:bidi w:val="0"/>
        <w:spacing w:before="240" w:after="120"/>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primarily consist of salaries, benefits, incentive compensation, stock-based compensation, laboratory supplies and materials for employees and contractors engaged in research and product development, licensing fees to use certain technology in our research and development projects, fees paid to consultants and various entities that perform certain research and testing on our behalf. We expense all research and development costs in the period in which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substantial research and development expenses as we advance our lead therapeutic candidate through Phase 2 clinical trials and invest in the necessary foundation to support potential commercialization. In addition, we expect to hire additional employees to further research and development and manufacturing activities. As a result, we expect that our research and development expenses will continue to increase in the future and vary from period to period.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salaries, benefits, and stock-based compensation costs for employees in our executive, accounting and finance, IT, office administration, legal and human resources functions as well as professional services fees, such as consulting, audit, tax and legal fees, and general corporate costs. We anticipate that general and administrative expenses will increase as we expand our workforce and invest in the advancement of our lead therapeutic candidate in preparation for potential commercialization. Additionally, as our operations grow in complexity and we progress toward potential commercialization, we may incur higher costs related to professional fees, director and officer insurance, and investor relations. We expect these expenses to vary from period to period.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Nonoperating Income (Expense)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Gain (loss) on change in fair value of warrant liabilities</w:t>
      </w:r>
    </w:p>
    <w:p>
      <w:pPr>
        <w:pStyle w:val="TextBody"/>
        <w:bidi w:val="0"/>
        <w:jc w:val="left"/>
        <w:rPr>
          <w:rFonts w:ascii="Times New Roman" w:hAnsi="Times New Roman"/>
          <w:color w:val="000000"/>
          <w:sz w:val="20"/>
        </w:rPr>
      </w:pPr>
      <w:r>
        <w:rPr>
          <w:rFonts w:ascii="Times New Roman" w:hAnsi="Times New Roman"/>
          <w:color w:val="000000"/>
          <w:sz w:val="20"/>
        </w:rPr>
        <w:t>Gain (loss) on change in fair value of warrant liabilities consists of the changes in the fair value of our Preferred Tranche C Warrants, Business Combination Public Warrants and Private Placement Warrants.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jc w:val="left"/>
        <w:rPr>
          <w:rFonts w:ascii="Times New Roman" w:hAnsi="Times New Roman"/>
          <w:color w:val="000000"/>
          <w:sz w:val="20"/>
        </w:rPr>
      </w:pPr>
      <w:r>
        <w:rPr>
          <w:rFonts w:ascii="Times New Roman" w:hAnsi="Times New Roman"/>
          <w:color w:val="000000"/>
          <w:sz w:val="20"/>
        </w:rPr>
        <w:t xml:space="preserve">Other income primarily consists of income associated with the refundable portion of Australian research and development tax credits and dividend income from non-interest bearing short-term investments.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consists of interest earned on our investments in debt securities, cash, and cash equivalents.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jc w:val="left"/>
        <w:rPr>
          <w:rFonts w:ascii="Times New Roman" w:hAnsi="Times New Roman"/>
          <w:color w:val="000000"/>
          <w:sz w:val="20"/>
        </w:rPr>
      </w:pPr>
      <w:r>
        <w:rPr>
          <w:rFonts w:ascii="Times New Roman" w:hAnsi="Times New Roman"/>
          <w:color w:val="000000"/>
          <w:sz w:val="20"/>
        </w:rPr>
        <w:t>Interest expense consists primarily of interest expense associated with finance lease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tables set forth our results of operations for the three months ended June 30, 2026 and 2025 (in thousands):</w:t>
      </w:r>
    </w:p>
    <w:tbl>
      <w:tblPr>
        <w:tblW w:w="8328" w:type="dxa"/>
        <w:jc w:val="left"/>
        <w:tblInd w:w="0" w:type="dxa"/>
        <w:tblLayout w:type="fixed"/>
        <w:tblCellMar>
          <w:top w:w="28" w:type="dxa"/>
          <w:left w:w="28" w:type="dxa"/>
          <w:bottom w:w="28" w:type="dxa"/>
          <w:right w:w="28" w:type="dxa"/>
        </w:tblCellMar>
      </w:tblPr>
      <w:tblGrid>
        <w:gridCol w:w="3076"/>
        <w:gridCol w:w="146"/>
        <w:gridCol w:w="230"/>
        <w:gridCol w:w="739"/>
        <w:gridCol w:w="181"/>
        <w:gridCol w:w="159"/>
        <w:gridCol w:w="230"/>
        <w:gridCol w:w="723"/>
        <w:gridCol w:w="166"/>
        <w:gridCol w:w="146"/>
        <w:gridCol w:w="211"/>
        <w:gridCol w:w="661"/>
        <w:gridCol w:w="166"/>
        <w:gridCol w:w="146"/>
        <w:gridCol w:w="146"/>
        <w:gridCol w:w="826"/>
        <w:gridCol w:w="37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12,107.1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(22,491</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represents our research and development expenses for the three months ended June 30, 2026 and 2025 (in thousands):</w:t>
      </w:r>
    </w:p>
    <w:tbl>
      <w:tblPr>
        <w:tblW w:w="8457" w:type="dxa"/>
        <w:jc w:val="left"/>
        <w:tblInd w:w="0" w:type="dxa"/>
        <w:tblLayout w:type="fixed"/>
        <w:tblCellMar>
          <w:top w:w="28" w:type="dxa"/>
          <w:left w:w="28" w:type="dxa"/>
          <w:bottom w:w="28" w:type="dxa"/>
          <w:right w:w="28" w:type="dxa"/>
        </w:tblCellMar>
      </w:tblPr>
      <w:tblGrid>
        <w:gridCol w:w="3496"/>
        <w:gridCol w:w="146"/>
        <w:gridCol w:w="243"/>
        <w:gridCol w:w="781"/>
        <w:gridCol w:w="168"/>
        <w:gridCol w:w="168"/>
        <w:gridCol w:w="243"/>
        <w:gridCol w:w="659"/>
        <w:gridCol w:w="146"/>
        <w:gridCol w:w="146"/>
        <w:gridCol w:w="211"/>
        <w:gridCol w:w="571"/>
        <w:gridCol w:w="146"/>
        <w:gridCol w:w="146"/>
        <w:gridCol w:w="177"/>
        <w:gridCol w:w="694"/>
        <w:gridCol w:w="3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&amp;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Animal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laboratory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Research and development expenses increased by $9.2 million, or 131.1%, for the three months ended June 30, 2026, as compared to the three months ended June 30, 2025, primarily due to increased clinical trial costs and related headcount to support the advancement of SAB-142 into our Registrational Phase 2b SAFEGUARD study.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General and administrative expenses increased by $4.5 million or 163.4%, in the three months ended June 30, 2026, as compared to the three months ended June 30, 2025, primarily due to increased headcount costs, including related stock based compensation.</w:t>
      </w:r>
    </w:p>
    <w:p>
      <w:pPr>
        <w:pStyle w:val="TextBody"/>
        <w:bidi w:val="0"/>
        <w:spacing w:before="0" w:after="240"/>
        <w:jc w:val="left"/>
        <w:rPr>
          <w:rFonts w:ascii="Times New Roman" w:hAnsi="Times New Roman"/>
          <w:sz w:val="20"/>
        </w:rPr>
      </w:pPr>
      <w:r>
        <w:rPr>
          <w:rFonts w:ascii="Times New Roman" w:hAnsi="Times New Roman"/>
          <w:b/>
          <w:i/>
          <w:color w:val="000000"/>
          <w:sz w:val="20"/>
        </w:rPr>
        <w:t>Changes in Fair Value of Warrant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fair value of warrant liabilities increased by $0.5 million, or 77.2% during the three months ended June 30, 2026, as compared to the three months ended June 30, 2025, primarily due to the increase in fair value of our Preferred Tranche C Warrants.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expense in the three months ended June 30, 2026 was consistent with interest expense in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income increased by $1.7 million or 12,107.1% during the three months ended June 30, 2026, as compared to the three months ended June 30, 2025, primarily due to higher average investment balances as a result of the March 2026 Public Offering and the July 2025 Purchase Agreement.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jc w:val="left"/>
        <w:rPr>
          <w:rFonts w:ascii="Times New Roman" w:hAnsi="Times New Roman"/>
          <w:color w:val="000000"/>
          <w:sz w:val="20"/>
        </w:rPr>
      </w:pPr>
      <w:r>
        <w:rPr>
          <w:rFonts w:ascii="Times New Roman" w:hAnsi="Times New Roman"/>
          <w:color w:val="000000"/>
          <w:sz w:val="20"/>
        </w:rPr>
        <w:t>Other income, increased by $0.1 million, or 18.6%, in the three months ended June 30, 2026, as compared to the three months ended June 30, 2025, primarily driven by an increase in dividend and investment income due to higher average investment balances as a result of the March 2026 Public Offering and the July 2025 Purchase Agreement, partially offset by a decrease in the Australian research and development tax credit.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set forth our results of operations for the six months ended June 30, 2026 and 2025 (in thousands):</w:t>
      </w:r>
    </w:p>
    <w:tbl>
      <w:tblPr>
        <w:tblW w:w="8066" w:type="dxa"/>
        <w:jc w:val="left"/>
        <w:tblInd w:w="0" w:type="dxa"/>
        <w:tblLayout w:type="fixed"/>
        <w:tblCellMar>
          <w:top w:w="28" w:type="dxa"/>
          <w:left w:w="28" w:type="dxa"/>
          <w:bottom w:w="28" w:type="dxa"/>
          <w:right w:w="28" w:type="dxa"/>
        </w:tblCellMar>
      </w:tblPr>
      <w:tblGrid>
        <w:gridCol w:w="3076"/>
        <w:gridCol w:w="146"/>
        <w:gridCol w:w="211"/>
        <w:gridCol w:w="676"/>
        <w:gridCol w:w="166"/>
        <w:gridCol w:w="146"/>
        <w:gridCol w:w="211"/>
        <w:gridCol w:w="676"/>
        <w:gridCol w:w="166"/>
        <w:gridCol w:w="146"/>
        <w:gridCol w:w="211"/>
        <w:gridCol w:w="676"/>
        <w:gridCol w:w="166"/>
        <w:gridCol w:w="146"/>
        <w:gridCol w:w="146"/>
        <w:gridCol w:w="725"/>
        <w:gridCol w:w="37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represents our research and development expenses for the six months ended June 30, 2026 and 2025 (in thousands):</w:t>
      </w:r>
    </w:p>
    <w:tbl>
      <w:tblPr>
        <w:tblW w:w="8293" w:type="dxa"/>
        <w:jc w:val="left"/>
        <w:tblInd w:w="0" w:type="dxa"/>
        <w:tblLayout w:type="fixed"/>
        <w:tblCellMar>
          <w:top w:w="28" w:type="dxa"/>
          <w:left w:w="28" w:type="dxa"/>
          <w:bottom w:w="28" w:type="dxa"/>
          <w:right w:w="28" w:type="dxa"/>
        </w:tblCellMar>
      </w:tblPr>
      <w:tblGrid>
        <w:gridCol w:w="3496"/>
        <w:gridCol w:w="146"/>
        <w:gridCol w:w="211"/>
        <w:gridCol w:w="677"/>
        <w:gridCol w:w="146"/>
        <w:gridCol w:w="146"/>
        <w:gridCol w:w="211"/>
        <w:gridCol w:w="677"/>
        <w:gridCol w:w="146"/>
        <w:gridCol w:w="146"/>
        <w:gridCol w:w="211"/>
        <w:gridCol w:w="601"/>
        <w:gridCol w:w="146"/>
        <w:gridCol w:w="146"/>
        <w:gridCol w:w="177"/>
        <w:gridCol w:w="694"/>
        <w:gridCol w:w="3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&amp;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Animal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laboratory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Research and development expenses increased by $14.9 million, or 101.8%, for the six months ended June 30, 2026, as compared to the six months ended June 30, 2025, primarily due to increased clinical trial costs and related headcount to support the advancement of SAB-142 into our Registrational Phase 2b SAFEGUARD study.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General and administrative expenses increased by $8.0 million, or 136.0%, in the six months ended June 30, 2026, as compared to the six months ended June 30, 2025, primarily due to increased headcount costs, including related stock based compensation.</w:t>
      </w:r>
    </w:p>
    <w:p>
      <w:pPr>
        <w:pStyle w:val="TextBody"/>
        <w:bidi w:val="0"/>
        <w:spacing w:before="0" w:after="240"/>
        <w:jc w:val="left"/>
        <w:rPr>
          <w:rFonts w:ascii="Times New Roman" w:hAnsi="Times New Roman"/>
          <w:sz w:val="20"/>
        </w:rPr>
      </w:pPr>
      <w:r>
        <w:rPr>
          <w:rFonts w:ascii="Times New Roman" w:hAnsi="Times New Roman"/>
          <w:b/>
          <w:i/>
          <w:color w:val="000000"/>
          <w:sz w:val="20"/>
        </w:rPr>
        <w:t>Changes in Fair Value of Warrant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fair value of warrant liabilities increased by $6.0 million, or 136.1% during the six months ended June 30, 2026, as compared to the six months ended June 30, 2025, primarily due to the increase in fair value of our Preferred Tranche C Warrants.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expense in the six months ended June 30, 2026 was consistent with interest expense in the six months ended June 30, 2025.</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income increased by $2.7 million, or 3,526.3%, during the six months ended June 30, 2026, as compared to the six months ended June 30, 2025, primarily due to higher average investment balances as a result of the March 2026 Public Offering and the July 2025 Purchase Agreement.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jc w:val="left"/>
        <w:rPr>
          <w:rFonts w:ascii="Times New Roman" w:hAnsi="Times New Roman"/>
          <w:color w:val="000000"/>
          <w:sz w:val="20"/>
        </w:rPr>
      </w:pPr>
      <w:r>
        <w:rPr>
          <w:rFonts w:ascii="Times New Roman" w:hAnsi="Times New Roman"/>
          <w:color w:val="000000"/>
          <w:sz w:val="20"/>
        </w:rPr>
        <w:t>Other income increased by $0.1 million, or 16.0% in the six months ended June 30, 2026, as compared to the six months ended June 30, 2025, primarily driven by an increase in dividend and investment income due to higher average investment balances as a result of the March 2026 Public Offering and the July 2025 Purchase Agreement, partially offset by a decrease in the Australian research and development tax credit.</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jc w:val="left"/>
        <w:rPr>
          <w:rFonts w:ascii="Times New Roman" w:hAnsi="Times New Roman"/>
          <w:color w:val="000000"/>
          <w:sz w:val="20"/>
        </w:rPr>
      </w:pPr>
      <w:r>
        <w:rPr>
          <w:rFonts w:ascii="Times New Roman" w:hAnsi="Times New Roman"/>
          <w:color w:val="000000"/>
          <w:sz w:val="20"/>
        </w:rPr>
        <w:t>As of June 30, 2026, we had an accumulated deficit of $152.3 million. We expect to continue to incur operating losses for the foreseeable future as we fund product development, regulatory approval efforts, clinical trials, and commercial readiness activities, and we will require additional capital to support our long-term plans.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July 2025, we completed the Series B Offering, generating approximately $175.0 million in gross proceeds before fees and expenses through the sale of Series B Preferred Stock (convertible into common stock following stockholder approval) together with the Release Date Warrants and Enrollment Date Warrants.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March 2026, we completed the March 2026 Public Offering, generating aggregate net proceeds of approximately $88.7 million after underwriting discounts, commissions, and offering expenses. The net proceeds are intended to fund the Phase 2b SAFEGUARD study of SAB-142 and for general corporate purposes.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See Note 8, </w:t>
      </w:r>
      <w:r>
        <w:rPr>
          <w:rFonts w:ascii="Times New Roman" w:hAnsi="Times New Roman"/>
          <w:i/>
          <w:color w:val="000000"/>
          <w:sz w:val="20"/>
        </w:rPr>
        <w:t>Stockholders’ Equity,</w:t>
      </w:r>
      <w:r>
        <w:rPr>
          <w:rFonts w:ascii="Times New Roman" w:hAnsi="Times New Roman"/>
          <w:color w:val="000000"/>
          <w:sz w:val="20"/>
        </w:rPr>
        <w:t xml:space="preserve"> in our condensed consolidated financial statements for more information about the Series B Offering and March 2026 Public Offering. </w:t>
      </w:r>
    </w:p>
    <w:p>
      <w:pPr>
        <w:pStyle w:val="TextBody"/>
        <w:bidi w:val="0"/>
        <w:jc w:val="left"/>
        <w:rPr>
          <w:rFonts w:ascii="Times New Roman" w:hAnsi="Times New Roman"/>
          <w:color w:val="000000"/>
          <w:sz w:val="20"/>
        </w:rPr>
      </w:pPr>
      <w:r>
        <w:rPr>
          <w:rFonts w:ascii="Times New Roman" w:hAnsi="Times New Roman"/>
          <w:color w:val="000000"/>
          <w:sz w:val="20"/>
        </w:rPr>
        <w:t>Based on our current level of operating expenses, existing resources will be sufficient to cover operating cash needs through the twelve months following the date of this report. In the future, we may seek additional funding through a combination of equity or debt financings, or other third-party financing, collaborative or other funding arrangements.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Shelf Registration Statement</w:t>
      </w:r>
    </w:p>
    <w:p>
      <w:pPr>
        <w:pStyle w:val="TextBody"/>
        <w:bidi w:val="0"/>
        <w:jc w:val="left"/>
        <w:rPr>
          <w:rFonts w:ascii="Times New Roman" w:hAnsi="Times New Roman"/>
          <w:color w:val="000000"/>
          <w:sz w:val="20"/>
        </w:rPr>
      </w:pPr>
      <w:r>
        <w:rPr>
          <w:rFonts w:ascii="Times New Roman" w:hAnsi="Times New Roman"/>
          <w:color w:val="000000"/>
          <w:sz w:val="20"/>
        </w:rPr>
        <w:t>On December 29, 2025 we filed a Registration Statement on Form S-3 (Registration No. 333-292482) (the “Shelf Registration Statement”), declared effective on January 7, 2026 by the SEC, which includes a base prospectus that allows us to offer and sell, from time to time, in one or more offerings, common stock, preferred stock, debt securities, warrants, rights or units up to an aggregate public offering price of $300.0 million. The Shelf Registration Statement is intended to preserve our flexibility to raise capital from time to time, if and when needed.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Cash Flows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w:t>
      </w:r>
    </w:p>
    <w:tbl>
      <w:tblPr>
        <w:tblW w:w="7649" w:type="dxa"/>
        <w:jc w:val="left"/>
        <w:tblInd w:w="0" w:type="dxa"/>
        <w:tblLayout w:type="fixed"/>
        <w:tblCellMar>
          <w:top w:w="28" w:type="dxa"/>
          <w:left w:w="28" w:type="dxa"/>
          <w:bottom w:w="28" w:type="dxa"/>
          <w:right w:w="28" w:type="dxa"/>
        </w:tblCellMar>
      </w:tblPr>
      <w:tblGrid>
        <w:gridCol w:w="5086"/>
        <w:gridCol w:w="146"/>
        <w:gridCol w:w="211"/>
        <w:gridCol w:w="736"/>
        <w:gridCol w:w="166"/>
        <w:gridCol w:w="146"/>
        <w:gridCol w:w="211"/>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jc w:val="left"/>
        <w:rPr>
          <w:rFonts w:ascii="Times New Roman" w:hAnsi="Times New Roman"/>
          <w:color w:val="000000"/>
          <w:sz w:val="20"/>
        </w:rPr>
      </w:pPr>
      <w:r>
        <w:rPr>
          <w:rFonts w:ascii="Times New Roman" w:hAnsi="Times New Roman"/>
          <w:color w:val="000000"/>
          <w:sz w:val="20"/>
        </w:rPr>
        <w:t>Net cash used in operating activities increased by $9.2 million in the six months ended June 30, 2026, as compared to the six months ended June 30, 2025. This increase was primarily driven by an increase in net cash used in operations, partially offset by non-cash adjustments, including stock-based compensation and changes in fair value of warrant liabilities. The year-over-year increase in cash used was due to our continued investment in the development of our lead product candidate, SAB-142.</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jc w:val="left"/>
        <w:rPr>
          <w:rFonts w:ascii="Times New Roman" w:hAnsi="Times New Roman"/>
          <w:color w:val="000000"/>
          <w:sz w:val="20"/>
        </w:rPr>
      </w:pPr>
      <w:r>
        <w:rPr>
          <w:rFonts w:ascii="Times New Roman" w:hAnsi="Times New Roman"/>
          <w:color w:val="000000"/>
          <w:sz w:val="20"/>
        </w:rPr>
        <w:t>Net cash used in investing activities increased by $80.4 million in the six months ended June 30, 2026, as compared to the six months ended June 30, 2025, primarily due to increased purchases of short-term investments, partially offset by proceeds from sales and maturities of investments.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increased by $92.6 million in the six months ended June 30, 2026, as compared to the six months ended June 30, 2025, primarily due to the March 2026 Public Offering and exercise of warrants.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 clinical master services agreement with Fortrea for CRO services related to our Phase 2b study of SAB-142 and expect to make ongoing payments to Fortrea over the next 12 to 18 months in connection with these services.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April 2026, we entered into a Master Manufacturing Services Agreement with Emergent for manufacturing services related to SAB-142, which includes a minimum aggregate spend of $36.0 million following FDA approval, over a five-year term. We expect to make substantial payments to Emergent over the next 24 to 36 months in connection with this agreement.</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terminated our office lease in Miami Beach, Florida and entered into a new lease for expanded space at the same location. The new lease commenced January 1, 2026 and has a five-year term. During the second quarter of 2026, we also reduced the leased space under our operating lease with Sanford Health; the terms of the original agreement remained unchanged, including the lease term ending December 31, 2029. Additionally, our office, laboratory, and warehouse space lease renewed in November 2023 has a three-year term expiring in November 2026, and we are evaluating our options with respect to renewal, extension, or relocation ahead of that expiration. As of June 30, 2026, our total operating and finance lease liabilities were approximately $1.9 million and $3.2 million, respectively. See Note 6, </w:t>
      </w:r>
      <w:r>
        <w:rPr>
          <w:rFonts w:ascii="Times New Roman" w:hAnsi="Times New Roman"/>
          <w:i/>
          <w:color w:val="000000"/>
          <w:sz w:val="20"/>
        </w:rPr>
        <w:t>Leases</w:t>
      </w:r>
      <w:r>
        <w:rPr>
          <w:rFonts w:ascii="Times New Roman" w:hAnsi="Times New Roman"/>
          <w:color w:val="000000"/>
          <w:sz w:val="20"/>
        </w:rPr>
        <w:t>, in our condensed consolidated financial statements for further details.</w:t>
      </w:r>
    </w:p>
    <w:p>
      <w:pPr>
        <w:pStyle w:val="TextBody"/>
        <w:bidi w:val="0"/>
        <w:jc w:val="left"/>
        <w:rPr>
          <w:rFonts w:ascii="Times New Roman" w:hAnsi="Times New Roman"/>
          <w:color w:val="000000"/>
          <w:sz w:val="20"/>
        </w:rPr>
      </w:pPr>
      <w:r>
        <w:rPr>
          <w:rFonts w:ascii="Times New Roman" w:hAnsi="Times New Roman"/>
          <w:color w:val="000000"/>
          <w:sz w:val="20"/>
        </w:rPr>
        <w:t>Except as described above, as of June 30, 2026, there were no material changes outside of the ordinary course of business to our commitments and contractual obligations.</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Off-Balance Sheet Arrangements</w:t>
      </w:r>
    </w:p>
    <w:p>
      <w:pPr>
        <w:pStyle w:val="TextBody"/>
        <w:bidi w:val="0"/>
        <w:jc w:val="left"/>
        <w:rPr>
          <w:rFonts w:ascii="Times New Roman" w:hAnsi="Times New Roman"/>
          <w:color w:val="000000"/>
          <w:sz w:val="20"/>
        </w:rPr>
      </w:pPr>
      <w:r>
        <w:rPr>
          <w:rFonts w:ascii="Times New Roman" w:hAnsi="Times New Roman"/>
          <w:color w:val="000000"/>
          <w:sz w:val="20"/>
        </w:rPr>
        <w:t>We did not have, for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Critical Accounting Policies and Estimates</w:t>
      </w:r>
    </w:p>
    <w:p>
      <w:pPr>
        <w:pStyle w:val="TextBody"/>
        <w:bidi w:val="0"/>
        <w:jc w:val="left"/>
        <w:rPr>
          <w:rFonts w:ascii="Times New Roman" w:hAnsi="Times New Roman"/>
          <w:color w:val="000000"/>
          <w:sz w:val="20"/>
        </w:rPr>
      </w:pPr>
      <w:r>
        <w:rPr>
          <w:rFonts w:ascii="Times New Roman" w:hAnsi="Times New Roman"/>
          <w:color w:val="000000"/>
          <w:sz w:val="20"/>
        </w:rPr>
        <w:t>We have prepared our condensed consolidated financial statements in accordance with U.S. GAAP. Our preparation of these condensed consolidated financial statements requires us to make estimates, assumptions and judgments that affect the reported amounts of assets, liabilities, revenue, expenses, and related disclosures.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most critical accounting estimates and assumptions are included in our Annual Report on Form 10-K for the year ended December 31, 2025 filed with the SEC on March 9, 2026 and our Quarterly Report on Form 10-Q for the quarter ended March 31, 2026, filed with the SEC on May 12, 2026. There have been no significant changes to our critical accounting policies during the three months ended June 30, 2026. See Note 2,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to our condensed consolidated financial statements for further details.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Jumpstart Our Business Startups (“JOBS”) Act, enacted in April 2012, permits an “emerging growth company” such as us to take advantage of an extended transition period to comply with new or revised accounting standards applicable to public companies until those standards would otherwise apply to private companies. We have and intend to continue to take advantage of all of the reduced reporting requirements and exemptions, including the longer phase-in periods for the adoption of new or revised financial accounting standards, for an emerging growth company under Section 107 of the JOBS Act. </w:t>
      </w:r>
    </w:p>
    <w:p>
      <w:pPr>
        <w:pStyle w:val="TextBody"/>
        <w:bidi w:val="0"/>
        <w:jc w:val="left"/>
        <w:rPr>
          <w:rFonts w:ascii="Times New Roman" w:hAnsi="Times New Roman"/>
          <w:color w:val="000000"/>
          <w:sz w:val="20"/>
        </w:rPr>
      </w:pPr>
      <w:r>
        <w:rPr>
          <w:rFonts w:ascii="Times New Roman" w:hAnsi="Times New Roman"/>
          <w:color w:val="000000"/>
          <w:sz w:val="20"/>
        </w:rPr>
        <w:t>We may use these provisions until the last day of our fiscal year in which the fifth anniversary of the completion of our initial public offering occurred. However, if certain events occur prior to the end of such five-year period, including if we become a “large accelerated filer,” our annual gross revenue exceeds $1.235 billion, or we issue more than $1.07 billion of non-convertible debt in any three-year period, we will cease to be an emerging growth company prior to the end of such five-year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to take advantage of certain of the reduced disclosure obligations in this Form 10-Q and may elect to take advantage of other reduced reporting requirements in future filings. As a result, the information that we provide to our shareholders may be different than the information you receive from other public companies in which you hold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no revenue for the three and six months ended June 30, 2026. To date, no receivables have been written off.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we had cash, cash equivalents, U.S. treasury securities, corporate bonds, investments in exchange traded mutual funds, and money market funds of $208.0 million and $143.5 million, respectively, all of which was maintained in bank accounts, money market funds, mutual funds, and U.S. treasury securities. Our primary exposure to market risk is to interest income volatility, which is affected by changes in the general level of interest rates. A 10% change in the market interest rates would not have a material effect on our business, financial condition, or results of operations.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jc w:val="left"/>
        <w:rPr>
          <w:rFonts w:ascii="Times New Roman" w:hAnsi="Times New Roman"/>
          <w:color w:val="000000"/>
          <w:sz w:val="20"/>
        </w:rPr>
      </w:pPr>
      <w:r>
        <w:rPr>
          <w:rFonts w:ascii="Times New Roman" w:hAnsi="Times New Roman"/>
          <w:color w:val="000000"/>
          <w:sz w:val="20"/>
        </w:rPr>
        <w:t>We conduct materially all of our business in U.S. dollars. We do not have any foreign currency or other derivative financial instruments. Our primary exposure to changes in foreign currency exchange rates relates mainly to SAB Australia. We do not currently hedge our foreign currency exchange rate risk. As of June 30, 2026 and December 31, 2025, our liabilities denominated in foreign currencies were not material. Accordingly, we do not believe a 10% increase or decrease in current exchange rates would have a material effect on our financial results.</w:t>
      </w:r>
    </w:p>
    <w:p>
      <w:pPr>
        <w:pStyle w:val="Heading2"/>
        <w:bidi w:val="0"/>
        <w:spacing w:before="360" w:after="120"/>
        <w:jc w:val="left"/>
        <w:rPr>
          <w:rFonts w:ascii="Times New Roman" w:hAnsi="Times New Roman"/>
          <w:color w:val="000000"/>
          <w:sz w:val="20"/>
        </w:rPr>
      </w:pPr>
      <w:bookmarkStart w:id="11" w:name="item_4_controls_and_procedures"/>
      <w:bookmarkEnd w:id="11"/>
      <w:r>
        <w:rPr>
          <w:rFonts w:ascii="Times New Roman" w:hAnsi="Times New Roman"/>
          <w:color w:val="000000"/>
          <w:sz w:val="20"/>
        </w:rPr>
        <w:t>Item 4. Controls and Procedures.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as of June 30, 2026, our Chief Executive Officer and Chief Financial Officer have concluded that the Company’s disclosure controls and procedures were effective as of June 30, 2026.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480" w:after="240"/>
        <w:jc w:val="center"/>
        <w:rPr>
          <w:rFonts w:ascii="Times New Roman" w:hAnsi="Times New Roman"/>
          <w:color w:val="000000"/>
          <w:sz w:val="20"/>
        </w:rPr>
      </w:pPr>
      <w:bookmarkStart w:id="12" w:name="part_ii_other_information"/>
      <w:bookmarkEnd w:id="12"/>
      <w:r>
        <w:rPr>
          <w:rFonts w:ascii="Times New Roman" w:hAnsi="Times New Roman"/>
          <w:color w:val="000000"/>
          <w:sz w:val="20"/>
        </w:rPr>
        <w:t>PART II—OTHER INFORMATION</w:t>
      </w:r>
    </w:p>
    <w:p>
      <w:pPr>
        <w:pStyle w:val="Heading2"/>
        <w:bidi w:val="0"/>
        <w:spacing w:before="120" w:after="240"/>
        <w:jc w:val="left"/>
        <w:rPr>
          <w:rFonts w:ascii="Times New Roman" w:hAnsi="Times New Roman"/>
          <w:color w:val="000000"/>
          <w:sz w:val="20"/>
        </w:rPr>
      </w:pPr>
      <w:bookmarkStart w:id="13" w:name="item_1_legal_proceedings"/>
      <w:bookmarkEnd w:id="13"/>
      <w:r>
        <w:rPr>
          <w:rFonts w:ascii="Times New Roman" w:hAnsi="Times New Roman"/>
          <w:color w:val="000000"/>
          <w:sz w:val="20"/>
        </w:rPr>
        <w:t>Item 1. Legal Proceedings.</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material litigation, nor are we aware of any pending or threatened litigation against us that we believe would materially affect our business, operating results, financial condition, or cash flows. Participants in our industry face frequent claims and litigation, including securities litigation, claims regarding patent and other intellectual property rights, and other liability claims. As a result, we may be involved in various legal proceedings from time to time in the future.</w:t>
      </w:r>
    </w:p>
    <w:p>
      <w:pPr>
        <w:pStyle w:val="Heading2"/>
        <w:bidi w:val="0"/>
        <w:spacing w:before="360" w:after="240"/>
        <w:jc w:val="left"/>
        <w:rPr>
          <w:rFonts w:ascii="Times New Roman" w:hAnsi="Times New Roman"/>
          <w:color w:val="000000"/>
          <w:sz w:val="20"/>
        </w:rPr>
      </w:pPr>
      <w:bookmarkStart w:id="14" w:name="item_1a_risk_factors"/>
      <w:bookmarkEnd w:id="14"/>
      <w:r>
        <w:rPr>
          <w:rFonts w:ascii="Times New Roman" w:hAnsi="Times New Roman"/>
          <w:color w:val="000000"/>
          <w:sz w:val="20"/>
        </w:rPr>
        <w:t>Item 1A. Risk Factors.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various risks, including those described in Item 1A of our Annual Report on Form 10-K for the fiscal year ended December 31, 2025, filed with the SEC on March 9, 2026, which we strongly encourage you to review (the “2025 Annual Report”). There have been no material changes from the risk factors described in our 2025 Annual Report.</w:t>
      </w:r>
    </w:p>
    <w:p>
      <w:pPr>
        <w:pStyle w:val="Heading2"/>
        <w:bidi w:val="0"/>
        <w:spacing w:before="360" w:after="240"/>
        <w:jc w:val="left"/>
        <w:rPr>
          <w:rFonts w:ascii="Times New Roman" w:hAnsi="Times New Roman"/>
          <w:color w:val="000000"/>
          <w:sz w:val="20"/>
        </w:rPr>
      </w:pPr>
      <w:bookmarkStart w:id="15" w:name="item_2_unregistered_sales_of_equity"/>
      <w:bookmarkEnd w:id="15"/>
      <w:r>
        <w:rPr>
          <w:rFonts w:ascii="Times New Roman" w:hAnsi="Times New Roman"/>
          <w:color w:val="000000"/>
          <w:sz w:val="20"/>
        </w:rPr>
        <w:t>Item 2. Unregistered Sales of Equity Securities and Use of Proceeds.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40"/>
        <w:jc w:val="left"/>
        <w:rPr>
          <w:rFonts w:ascii="Times New Roman" w:hAnsi="Times New Roman"/>
          <w:color w:val="000000"/>
          <w:sz w:val="20"/>
        </w:rPr>
      </w:pPr>
      <w:bookmarkStart w:id="16" w:name="item_3_defaults_upon_senior_securities"/>
      <w:bookmarkEnd w:id="16"/>
      <w:r>
        <w:rPr>
          <w:rFonts w:ascii="Times New Roman" w:hAnsi="Times New Roman"/>
          <w:color w:val="000000"/>
          <w:sz w:val="20"/>
        </w:rPr>
        <w:t>Item 3. Defaults Upon Senior Securities.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40"/>
        <w:jc w:val="left"/>
        <w:rPr>
          <w:rFonts w:ascii="Times New Roman" w:hAnsi="Times New Roman"/>
          <w:color w:val="000000"/>
          <w:sz w:val="20"/>
        </w:rPr>
      </w:pPr>
      <w:bookmarkStart w:id="17" w:name="item_4_mine_safety_disclosures"/>
      <w:bookmarkEnd w:id="17"/>
      <w:r>
        <w:rPr>
          <w:rFonts w:ascii="Times New Roman" w:hAnsi="Times New Roman"/>
          <w:color w:val="000000"/>
          <w:sz w:val="20"/>
        </w:rPr>
        <w:t>Item 4. Mine Safety Disclosures.</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40"/>
        <w:jc w:val="left"/>
        <w:rPr>
          <w:rFonts w:ascii="Times New Roman" w:hAnsi="Times New Roman"/>
          <w:color w:val="000000"/>
          <w:sz w:val="20"/>
        </w:rPr>
      </w:pPr>
      <w:bookmarkStart w:id="18" w:name="item_5_other_information"/>
      <w:bookmarkEnd w:id="18"/>
      <w:r>
        <w:rPr>
          <w:rFonts w:ascii="Times New Roman" w:hAnsi="Times New Roman"/>
          <w:color w:val="000000"/>
          <w:sz w:val="20"/>
        </w:rPr>
        <w:t>Item 5. Other Information.</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and six months ended June 30, 2026, none of the Company’s directors or officers (as defined in Rule 16a-1(f) of the Exchange Act) adopted, terminated or modified a Rule 10b5-1 trading arrangement or non-Rule 10b5-1 trading arrangement (as such terms are defined in Item 408 of Regulation S-K of the Securities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bookmarkStart w:id="19" w:name="item_6_exhibits"/>
      <w:bookmarkEnd w:id="19"/>
      <w:r>
        <w:rPr>
          <w:rFonts w:ascii="Times New Roman" w:hAnsi="Times New Roman"/>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94"/>
        <w:gridCol w:w="6399"/>
        <w:gridCol w:w="750"/>
        <w:gridCol w:w="754"/>
        <w:gridCol w:w="631"/>
        <w:gridCol w:w="777"/>
      </w:tblGrid>
      <w:tr>
        <w:trPr/>
        <w:tc>
          <w:tcPr>
            <w:tcW w:w="894" w:type="dxa"/>
            <w:tcBorders/>
            <w:vAlign w:val="center"/>
          </w:tcPr>
          <w:p>
            <w:pPr>
              <w:pStyle w:val="TableContents"/>
              <w:bidi w:val="0"/>
              <w:spacing w:before="0" w:after="283"/>
              <w:jc w:val="left"/>
              <w:rPr>
                <w:sz w:val="4"/>
                <w:szCs w:val="4"/>
              </w:rPr>
            </w:pPr>
            <w:r>
              <w:rPr>
                <w:sz w:val="4"/>
                <w:szCs w:val="4"/>
              </w:rPr>
            </w:r>
          </w:p>
        </w:tc>
        <w:tc>
          <w:tcPr>
            <w:tcW w:w="63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63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750"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Schedule/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Form</w:t>
            </w:r>
          </w:p>
        </w:tc>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Filing Date</w:t>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Master Manufacturing Services Agreement, dated as of April 28, 2026, by and between SAB Biotherapeutics, Inc. and Emergent BioSolutions Canada Inc.</w:t>
              </w:r>
            </w:hyperlink>
          </w:p>
        </w:tc>
        <w:tc>
          <w:tcPr>
            <w:tcW w:w="7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001-39871</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4, 2026</w:t>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bs-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bs-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bs-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bs-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7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are not deemed filed with the SEC and are not to be incorporated by reference into any filing of SAB Biotherapeutics, Inc. under the Securities Act of 1933 or the Securities Exchange Act of 1934, whether made before or after the date of this Quarterly Report,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7079" w:type="dxa"/>
        <w:jc w:val="left"/>
        <w:tblInd w:w="0" w:type="dxa"/>
        <w:tblLayout w:type="fixed"/>
        <w:tblCellMar>
          <w:top w:w="28" w:type="dxa"/>
          <w:left w:w="28" w:type="dxa"/>
          <w:bottom w:w="28" w:type="dxa"/>
          <w:right w:w="28" w:type="dxa"/>
        </w:tblCellMar>
      </w:tblPr>
      <w:tblGrid>
        <w:gridCol w:w="1846"/>
        <w:gridCol w:w="146"/>
        <w:gridCol w:w="406"/>
        <w:gridCol w:w="468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 BIOTHERAPEUTICS,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Samuel J. Reich</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Samuel J. Reich</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Lucy To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Lucy To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sabs-ex31_1.htm"/>
      <w:bookmarkStart w:id="22" w:name="kssabs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Samuel J. Reich, certify that:</w:t>
      </w:r>
    </w:p>
    <w:tbl>
      <w:tblPr>
        <w:tblW w:w="7037" w:type="dxa"/>
        <w:jc w:val="left"/>
        <w:tblInd w:w="0" w:type="dxa"/>
        <w:tblLayout w:type="fixed"/>
        <w:tblCellMar>
          <w:top w:w="28" w:type="dxa"/>
          <w:left w:w="28" w:type="dxa"/>
          <w:bottom w:w="28" w:type="dxa"/>
          <w:right w:w="28" w:type="dxa"/>
        </w:tblCellMar>
      </w:tblPr>
      <w:tblGrid>
        <w:gridCol w:w="271"/>
        <w:gridCol w:w="6766"/>
      </w:tblGrid>
      <w:tr>
        <w:trPr/>
        <w:tc>
          <w:tcPr>
            <w:tcW w:w="271"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tc>
        <w:tc>
          <w:tcPr>
            <w:tcW w:w="67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SAB Biotherapeutics,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848" w:type="dxa"/>
        <w:jc w:val="left"/>
        <w:tblInd w:w="0" w:type="dxa"/>
        <w:tblLayout w:type="fixed"/>
        <w:tblCellMar>
          <w:top w:w="28" w:type="dxa"/>
          <w:left w:w="28" w:type="dxa"/>
          <w:bottom w:w="28" w:type="dxa"/>
          <w:right w:w="28" w:type="dxa"/>
        </w:tblCellMar>
      </w:tblPr>
      <w:tblGrid>
        <w:gridCol w:w="1846"/>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Samuel J. Reich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Samuel J. Reich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abs-ex31_2.htm"/>
      <w:bookmarkStart w:id="24" w:name="kssabs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Lucy To, certify that:</w:t>
      </w:r>
    </w:p>
    <w:tbl>
      <w:tblPr>
        <w:tblW w:w="7037" w:type="dxa"/>
        <w:jc w:val="left"/>
        <w:tblInd w:w="0" w:type="dxa"/>
        <w:tblLayout w:type="fixed"/>
        <w:tblCellMar>
          <w:top w:w="28" w:type="dxa"/>
          <w:left w:w="28" w:type="dxa"/>
          <w:bottom w:w="28" w:type="dxa"/>
          <w:right w:w="28" w:type="dxa"/>
        </w:tblCellMar>
      </w:tblPr>
      <w:tblGrid>
        <w:gridCol w:w="271"/>
        <w:gridCol w:w="6766"/>
      </w:tblGrid>
      <w:tr>
        <w:trPr/>
        <w:tc>
          <w:tcPr>
            <w:tcW w:w="271"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tc>
        <w:tc>
          <w:tcPr>
            <w:tcW w:w="67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SAB Biotherapeutics,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6183" w:type="dxa"/>
        <w:jc w:val="left"/>
        <w:tblInd w:w="0" w:type="dxa"/>
        <w:tblLayout w:type="fixed"/>
        <w:tblCellMar>
          <w:top w:w="28" w:type="dxa"/>
          <w:left w:w="28" w:type="dxa"/>
          <w:bottom w:w="28" w:type="dxa"/>
          <w:right w:w="28" w:type="dxa"/>
        </w:tblCellMar>
      </w:tblPr>
      <w:tblGrid>
        <w:gridCol w:w="18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Lucy To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Lucy To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abs-ex32_1.htm"/>
      <w:bookmarkStart w:id="26" w:name="kssabs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SAB Biotherapeutics, Inc. (the “Company”) on Form 10-Q for the period ending June 30, 2026 as filed with the Securities and Exchange Commission on the date hereof (the “Report”), I certify, pursuant to 18 U.S.C. § 1350, as adopted pursuant to § 906 of the Sarbanes-Oxley Act of 2002, that:</w:t>
      </w:r>
    </w:p>
    <w:tbl>
      <w:tblPr>
        <w:tblW w:w="10146" w:type="dxa"/>
        <w:jc w:val="left"/>
        <w:tblInd w:w="0" w:type="dxa"/>
        <w:tblLayout w:type="fixed"/>
        <w:tblCellMar>
          <w:top w:w="28" w:type="dxa"/>
          <w:left w:w="28" w:type="dxa"/>
          <w:bottom w:w="28" w:type="dxa"/>
          <w:right w:w="28" w:type="dxa"/>
        </w:tblCellMar>
      </w:tblPr>
      <w:tblGrid>
        <w:gridCol w:w="124"/>
        <w:gridCol w:w="331"/>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6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848" w:type="dxa"/>
        <w:jc w:val="left"/>
        <w:tblInd w:w="0" w:type="dxa"/>
        <w:tblLayout w:type="fixed"/>
        <w:tblCellMar>
          <w:top w:w="28" w:type="dxa"/>
          <w:left w:w="28" w:type="dxa"/>
          <w:bottom w:w="28" w:type="dxa"/>
          <w:right w:w="28" w:type="dxa"/>
        </w:tblCellMar>
      </w:tblPr>
      <w:tblGrid>
        <w:gridCol w:w="1846"/>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Samuel J. Reich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Samuel J. Reich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abs-ex32_2.htm"/>
      <w:bookmarkStart w:id="28" w:name="kssabs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SAB Biotherapeutics, Inc. (the “Company”) on Form 10-Q for the period ending June 30, 2026 as filed with the Securities and Exchange Commission on the date hereof (the “Report”), I certify, pursuant to 18 U.S.C. § 1350, as adopted pursuant to § 906 of the Sarbanes-Oxley Act of 2002, that:</w:t>
      </w:r>
    </w:p>
    <w:tbl>
      <w:tblPr>
        <w:tblW w:w="10146" w:type="dxa"/>
        <w:jc w:val="left"/>
        <w:tblInd w:w="0" w:type="dxa"/>
        <w:tblLayout w:type="fixed"/>
        <w:tblCellMar>
          <w:top w:w="28" w:type="dxa"/>
          <w:left w:w="28" w:type="dxa"/>
          <w:bottom w:w="28" w:type="dxa"/>
          <w:right w:w="28" w:type="dxa"/>
        </w:tblCellMar>
      </w:tblPr>
      <w:tblGrid>
        <w:gridCol w:w="124"/>
        <w:gridCol w:w="331"/>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6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6183" w:type="dxa"/>
        <w:jc w:val="left"/>
        <w:tblInd w:w="0" w:type="dxa"/>
        <w:tblLayout w:type="fixed"/>
        <w:tblCellMar>
          <w:top w:w="28" w:type="dxa"/>
          <w:left w:w="28" w:type="dxa"/>
          <w:bottom w:w="28" w:type="dxa"/>
          <w:right w:w="28" w:type="dxa"/>
        </w:tblCellMar>
      </w:tblPr>
      <w:tblGrid>
        <w:gridCol w:w="18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Lucy To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Lucy To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33214/000119312526204125/sabs-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20839</Words>
  <Characters>115799</Characters>
  <CharactersWithSpaces>138742</CharactersWithSpaces>
  <Paragraphs>7572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