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SAB Biotherapeutics,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Adage Capital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6,405,553.00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6,405,553.00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6,405,553.00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 Atchinson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6,405,553.00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6,405,553.00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6,405,553.00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Phillip Gross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6,405,553.00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6,405,553.00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6,405,553.00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53"/>
        <w:gridCol w:w="8897"/>
        <w:gridCol w:w="155"/>
      </w:tblGrid>
      <w:tr>
        <w:trPr/>
        <w:tc>
          <w:tcPr>
            <w:tcW w:w="1153" w:type="dxa"/>
            <w:tcBorders/>
            <w:vAlign w:val="center"/>
          </w:tcPr>
          <w:p>
            <w:pPr>
              <w:pStyle w:val="TableContents"/>
              <w:bidi w:val="0"/>
              <w:spacing w:before="0" w:after="283"/>
              <w:jc w:val="left"/>
              <w:rPr/>
            </w:pPr>
            <w:r>
              <w:rPr/>
              <w:t>Item 1.</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issuer: </w:t>
            </w:r>
          </w:p>
          <w:p>
            <w:pPr>
              <w:pStyle w:val="TableContents"/>
              <w:bidi w:val="0"/>
              <w:spacing w:before="0" w:after="0"/>
              <w:jc w:val="left"/>
              <w:rPr/>
            </w:pPr>
            <w:r>
              <w:rPr/>
              <w:t>SAB Biotherapeutics, Inc.</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777 W 41st St, Suite 401, Miami Beach, Fl, 33140</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2.</w:t>
            </w:r>
          </w:p>
        </w:tc>
        <w:tc>
          <w:tcPr>
            <w:tcW w:w="889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Adage Capital Management, L.P., a Delaware limited partnership ("ACM"), as the investment manager of Adage Capital Partners, L.P., a Delaware limited partnership ("ACP"), with respect to the common stock, par value $0.0001 per share ("Common Stock") of SAB Biotherapeutics, Inc., a Delaware corporation (the "Company") directly held by ACP; (ii) Robert Atchinson ("Mr. Atchinson"), as (1) managing member of Adage Capital Advisors, L.L.C., a limited liability company organized under the laws of the State of Delaware ("ACA"), managing member of Adage Capital Partners GP, L.L.C., a limited liability company organized under the laws of the State of Delaware ("ACPGP"), general partner of ACP, and (2) managing member of Adage Capital Partners, L.L.C., a Delaware limited liability company ("ACPLLC"), general partner of ACM, with respect to the Common Stock directly held by ACP; and (iii) Phillip Gross ("Mr. Gross"), as (1) managing member of ACA, managing member of ACPGP, and (2) managing member of ACPLLC, general partner of ACM, with respect to the Common Stock directly held by ACP. The foregoing persons are hereinafter sometimes collectively referred to as the "Reporting Persons." Any disclosures herein with respect to persons other than the Reporting Persons are made on information and belief after making inquiry to the appropriate party. The filing of this statement should not be construed in and of itself as an admission by any Reporting Person as to beneficial ownership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200 Clarendon Street, 52nd Floor, Boston, Massachusetts 02116.</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jc w:val="left"/>
              <w:rPr/>
            </w:pPr>
            <w:r>
              <w:rPr/>
              <w:t xml:space="preserve">Citizenship: </w:t>
            </w:r>
          </w:p>
          <w:p>
            <w:pPr>
              <w:pStyle w:val="TableContents"/>
              <w:bidi w:val="0"/>
              <w:spacing w:before="0" w:after="0"/>
              <w:jc w:val="left"/>
              <w:rPr/>
            </w:pPr>
            <w:r>
              <w:rPr/>
              <w:t>ACM is a limited partnership organized under the laws of the State of Delaware. Messrs. Gross and Atchinson are citizens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3.</w:t>
            </w:r>
          </w:p>
        </w:tc>
        <w:tc>
          <w:tcPr>
            <w:tcW w:w="889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(d)</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(e)</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(f)</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(g)</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(h)</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(j)</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(k)</w:t>
            </w:r>
          </w:p>
        </w:tc>
        <w:tc>
          <w:tcPr>
            <w:tcW w:w="889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9052" w:type="dxa"/>
            <w:gridSpan w:val="2"/>
            <w:tcBorders/>
            <w:vAlign w:val="center"/>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4.</w:t>
            </w:r>
          </w:p>
        </w:tc>
        <w:tc>
          <w:tcPr>
            <w:tcW w:w="889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(a)</w:t>
            </w:r>
          </w:p>
        </w:tc>
        <w:tc>
          <w:tcPr>
            <w:tcW w:w="889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approximately 76,464,094 shares of Common Stock outstanding as of May 6, 2026, as reported in the Company's Quarterly Report on Form 10-Q for the quarterly period ended March 31, 2026 filed with the Securities and Exchange Commission on May 12, 2026.</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(b)</w:t>
            </w:r>
          </w:p>
        </w:tc>
        <w:tc>
          <w:tcPr>
            <w:tcW w:w="889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8.38%  %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(c)</w:t>
            </w:r>
          </w:p>
        </w:tc>
        <w:tc>
          <w:tcPr>
            <w:tcW w:w="889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5.</w:t>
            </w:r>
          </w:p>
        </w:tc>
        <w:tc>
          <w:tcPr>
            <w:tcW w:w="889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6.</w:t>
            </w:r>
          </w:p>
        </w:tc>
        <w:tc>
          <w:tcPr>
            <w:tcW w:w="889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7.</w:t>
            </w:r>
          </w:p>
        </w:tc>
        <w:tc>
          <w:tcPr>
            <w:tcW w:w="889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8.</w:t>
            </w:r>
          </w:p>
        </w:tc>
        <w:tc>
          <w:tcPr>
            <w:tcW w:w="889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Item 9.</w:t>
            </w:r>
          </w:p>
        </w:tc>
        <w:tc>
          <w:tcPr>
            <w:tcW w:w="889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3" w:type="dxa"/>
            <w:tcBorders/>
            <w:vAlign w:val="center"/>
          </w:tcPr>
          <w:p>
            <w:pPr>
              <w:pStyle w:val="TableContents"/>
              <w:bidi w:val="0"/>
              <w:spacing w:before="0" w:after="283"/>
              <w:jc w:val="left"/>
              <w:rPr/>
            </w:pPr>
            <w:r>
              <w:rPr/>
              <w:t> </w:t>
            </w:r>
          </w:p>
        </w:tc>
        <w:tc>
          <w:tcPr>
            <w:tcW w:w="889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924" w:type="dxa"/>
        <w:jc w:val="left"/>
        <w:tblInd w:w="0" w:type="dxa"/>
        <w:tblLayout w:type="fixed"/>
        <w:tblCellMar>
          <w:top w:w="28" w:type="dxa"/>
          <w:left w:w="28" w:type="dxa"/>
          <w:bottom w:w="28" w:type="dxa"/>
          <w:right w:w="28" w:type="dxa"/>
        </w:tblCellMar>
      </w:tblPr>
      <w:tblGrid>
        <w:gridCol w:w="3462"/>
        <w:gridCol w:w="3462"/>
      </w:tblGrid>
      <w:tr>
        <w:trPr/>
        <w:tc>
          <w:tcPr>
            <w:tcW w:w="3462" w:type="dxa"/>
            <w:tcBorders/>
            <w:vAlign w:val="center"/>
          </w:tcPr>
          <w:p>
            <w:pPr>
              <w:pStyle w:val="TableContents"/>
              <w:bidi w:val="0"/>
              <w:spacing w:before="0" w:after="0"/>
              <w:jc w:val="left"/>
              <w:rPr/>
            </w:pPr>
            <w:r>
              <w:rPr/>
              <w:t> </w:t>
            </w:r>
          </w:p>
          <w:tbl>
            <w:tblPr>
              <w:tblW w:w="3346" w:type="dxa"/>
              <w:jc w:val="left"/>
              <w:tblInd w:w="0" w:type="dxa"/>
              <w:tblLayout w:type="fixed"/>
              <w:tblCellMar>
                <w:top w:w="28" w:type="dxa"/>
                <w:left w:w="28" w:type="dxa"/>
                <w:bottom w:w="28" w:type="dxa"/>
                <w:right w:w="28" w:type="dxa"/>
              </w:tblCellMar>
            </w:tblPr>
            <w:tblGrid>
              <w:gridCol w:w="3346"/>
            </w:tblGrid>
            <w:tr>
              <w:trPr/>
              <w:tc>
                <w:tcPr>
                  <w:tcW w:w="3346" w:type="dxa"/>
                  <w:tcBorders/>
                  <w:vAlign w:val="center"/>
                </w:tcPr>
                <w:p>
                  <w:pPr>
                    <w:pStyle w:val="TableContents"/>
                    <w:bidi w:val="0"/>
                    <w:spacing w:before="0" w:after="0"/>
                    <w:jc w:val="left"/>
                    <w:rPr/>
                  </w:pPr>
                  <w:r>
                    <w:rPr/>
                    <w:t>Adage Capital Management, L.P.</w:t>
                  </w:r>
                </w:p>
              </w:tc>
            </w:tr>
          </w:tbl>
          <w:p>
            <w:pPr>
              <w:pStyle w:val="TableContents"/>
              <w:bidi w:val="0"/>
              <w:spacing w:before="0" w:after="283"/>
              <w:jc w:val="left"/>
              <w:rPr/>
            </w:pPr>
            <w:r>
              <w:rPr/>
            </w:r>
          </w:p>
        </w:tc>
        <w:tc>
          <w:tcPr>
            <w:tcW w:w="34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7"/>
        <w:gridCol w:w="4308"/>
      </w:tblGrid>
      <w:tr>
        <w:trPr/>
        <w:tc>
          <w:tcPr>
            <w:tcW w:w="58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2"/>
              <w:gridCol w:w="9043"/>
            </w:tblGrid>
            <w:tr>
              <w:trPr/>
              <w:tc>
                <w:tcPr>
                  <w:tcW w:w="1162" w:type="dxa"/>
                  <w:tcBorders/>
                  <w:vAlign w:val="center"/>
                </w:tcPr>
                <w:p>
                  <w:pPr>
                    <w:pStyle w:val="TableContents"/>
                    <w:bidi w:val="0"/>
                    <w:spacing w:before="0" w:after="283"/>
                    <w:jc w:val="left"/>
                    <w:rPr/>
                  </w:pPr>
                  <w:r>
                    <w:rPr/>
                    <w:t>Signature:</w:t>
                  </w:r>
                </w:p>
              </w:tc>
              <w:tc>
                <w:tcPr>
                  <w:tcW w:w="9043" w:type="dxa"/>
                  <w:tcBorders/>
                  <w:vAlign w:val="center"/>
                </w:tcPr>
                <w:p>
                  <w:pPr>
                    <w:pStyle w:val="TableContents"/>
                    <w:bidi w:val="0"/>
                    <w:spacing w:before="0" w:after="283"/>
                    <w:jc w:val="left"/>
                    <w:rPr/>
                  </w:pPr>
                  <w:r>
                    <w:rPr/>
                    <w:t>/s/ Robert Atchinson</w:t>
                  </w:r>
                </w:p>
              </w:tc>
            </w:tr>
            <w:tr>
              <w:trPr/>
              <w:tc>
                <w:tcPr>
                  <w:tcW w:w="1162" w:type="dxa"/>
                  <w:tcBorders/>
                  <w:vAlign w:val="center"/>
                </w:tcPr>
                <w:p>
                  <w:pPr>
                    <w:pStyle w:val="TableContents"/>
                    <w:bidi w:val="0"/>
                    <w:spacing w:before="0" w:after="283"/>
                    <w:jc w:val="left"/>
                    <w:rPr/>
                  </w:pPr>
                  <w:r>
                    <w:rPr/>
                    <w:t>Name/Title:</w:t>
                  </w:r>
                </w:p>
              </w:tc>
              <w:tc>
                <w:tcPr>
                  <w:tcW w:w="9043" w:type="dxa"/>
                  <w:tcBorders/>
                  <w:vAlign w:val="center"/>
                </w:tcPr>
                <w:p>
                  <w:pPr>
                    <w:pStyle w:val="TableContents"/>
                    <w:bidi w:val="0"/>
                    <w:spacing w:before="0" w:after="283"/>
                    <w:jc w:val="left"/>
                    <w:rPr/>
                  </w:pPr>
                  <w:r>
                    <w:rPr/>
                    <w:t>By: Adage Capital Partners, L.L.C., its General Partner, By: Robert Atchinson, its Managing Member</w:t>
                  </w:r>
                </w:p>
              </w:tc>
            </w:tr>
            <w:tr>
              <w:trPr/>
              <w:tc>
                <w:tcPr>
                  <w:tcW w:w="1162" w:type="dxa"/>
                  <w:tcBorders/>
                  <w:vAlign w:val="center"/>
                </w:tcPr>
                <w:p>
                  <w:pPr>
                    <w:pStyle w:val="TableContents"/>
                    <w:bidi w:val="0"/>
                    <w:spacing w:before="0" w:after="283"/>
                    <w:jc w:val="left"/>
                    <w:rPr/>
                  </w:pPr>
                  <w:r>
                    <w:rPr/>
                    <w:t>Date:</w:t>
                  </w:r>
                </w:p>
              </w:tc>
              <w:tc>
                <w:tcPr>
                  <w:tcW w:w="9043"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8" w:type="dxa"/>
            <w:tcBorders/>
            <w:vAlign w:val="center"/>
          </w:tcPr>
          <w:p>
            <w:pPr>
              <w:pStyle w:val="TableContents"/>
              <w:bidi w:val="0"/>
              <w:spacing w:before="0" w:after="283"/>
              <w:jc w:val="left"/>
              <w:rPr>
                <w:sz w:val="4"/>
                <w:szCs w:val="4"/>
              </w:rPr>
            </w:pPr>
            <w:r>
              <w:rPr>
                <w:sz w:val="4"/>
                <w:szCs w:val="4"/>
              </w:rPr>
            </w:r>
          </w:p>
        </w:tc>
      </w:tr>
    </w:tbl>
    <w:tbl>
      <w:tblPr>
        <w:tblW w:w="3964" w:type="dxa"/>
        <w:jc w:val="left"/>
        <w:tblInd w:w="0" w:type="dxa"/>
        <w:tblLayout w:type="fixed"/>
        <w:tblCellMar>
          <w:top w:w="28" w:type="dxa"/>
          <w:left w:w="28" w:type="dxa"/>
          <w:bottom w:w="28" w:type="dxa"/>
          <w:right w:w="28" w:type="dxa"/>
        </w:tblCellMar>
      </w:tblPr>
      <w:tblGrid>
        <w:gridCol w:w="1982"/>
        <w:gridCol w:w="1982"/>
      </w:tblGrid>
      <w:tr>
        <w:trPr/>
        <w:tc>
          <w:tcPr>
            <w:tcW w:w="1982" w:type="dxa"/>
            <w:tcBorders/>
            <w:vAlign w:val="center"/>
          </w:tcPr>
          <w:p>
            <w:pPr>
              <w:pStyle w:val="TableContents"/>
              <w:bidi w:val="0"/>
              <w:spacing w:before="0" w:after="0"/>
              <w:jc w:val="left"/>
              <w:rPr/>
            </w:pPr>
            <w:r>
              <w:rPr/>
              <w:t> </w:t>
            </w:r>
          </w:p>
          <w:tbl>
            <w:tblPr>
              <w:tblW w:w="1846" w:type="dxa"/>
              <w:jc w:val="left"/>
              <w:tblInd w:w="0" w:type="dxa"/>
              <w:tblLayout w:type="fixed"/>
              <w:tblCellMar>
                <w:top w:w="28" w:type="dxa"/>
                <w:left w:w="28" w:type="dxa"/>
                <w:bottom w:w="28" w:type="dxa"/>
                <w:right w:w="28" w:type="dxa"/>
              </w:tblCellMar>
            </w:tblPr>
            <w:tblGrid>
              <w:gridCol w:w="1846"/>
            </w:tblGrid>
            <w:tr>
              <w:trPr/>
              <w:tc>
                <w:tcPr>
                  <w:tcW w:w="1846" w:type="dxa"/>
                  <w:tcBorders/>
                  <w:vAlign w:val="center"/>
                </w:tcPr>
                <w:p>
                  <w:pPr>
                    <w:pStyle w:val="TableContents"/>
                    <w:bidi w:val="0"/>
                    <w:spacing w:before="0" w:after="0"/>
                    <w:jc w:val="left"/>
                    <w:rPr/>
                  </w:pPr>
                  <w:r>
                    <w:rPr/>
                    <w:t>Robert Atchinson</w:t>
                  </w:r>
                </w:p>
              </w:tc>
            </w:tr>
          </w:tbl>
          <w:p>
            <w:pPr>
              <w:pStyle w:val="TableContents"/>
              <w:bidi w:val="0"/>
              <w:spacing w:before="0" w:after="283"/>
              <w:jc w:val="left"/>
              <w:rPr/>
            </w:pPr>
            <w:r>
              <w:rPr/>
            </w:r>
          </w:p>
        </w:tc>
        <w:tc>
          <w:tcPr>
            <w:tcW w:w="19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2"/>
        <w:gridCol w:w="4303"/>
      </w:tblGrid>
      <w:tr>
        <w:trPr/>
        <w:tc>
          <w:tcPr>
            <w:tcW w:w="59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Robert Atchinson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Robert Atchinson, individually</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303"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Phillip Gross</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9"/>
        <w:gridCol w:w="4466"/>
      </w:tblGrid>
      <w:tr>
        <w:trPr/>
        <w:tc>
          <w:tcPr>
            <w:tcW w:w="573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Phillip Gross</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Phillip Gross,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08/12/2026</w:t>
                  </w:r>
                </w:p>
              </w:tc>
            </w:tr>
          </w:tbl>
          <w:p>
            <w:pPr>
              <w:pStyle w:val="TableContents"/>
              <w:bidi w:val="0"/>
              <w:spacing w:before="0" w:after="283"/>
              <w:jc w:val="left"/>
              <w:rPr/>
            </w:pPr>
            <w:r>
              <w:rPr/>
            </w:r>
          </w:p>
        </w:tc>
        <w:tc>
          <w:tcPr>
            <w:tcW w:w="4466"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4" w:name="p15037704_ex99-1.htm"/>
      <w:bookmarkStart w:id="25" w:name="ksp15037704_ex991"/>
      <w:bookmarkEnd w:id="24"/>
      <w:bookmarkEnd w:id="25"/>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FILING AGREEMENT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August 12, 2026</w:t>
      </w:r>
    </w:p>
    <w:p>
      <w:pPr>
        <w:pStyle w:val="TextBody"/>
        <w:bidi w:val="0"/>
        <w:jc w:val="left"/>
        <w:rPr>
          <w:caps w:val="false"/>
          <w:smallCaps w:val="false"/>
        </w:rPr>
      </w:pPr>
      <w:r>
        <w:rPr>
          <w:caps w:val="false"/>
          <w:smallCaps w:val="false"/>
        </w:rPr>
        <w:t> </w:t>
      </w:r>
    </w:p>
    <w:tbl>
      <w:tblPr>
        <w:tblW w:w="4430" w:type="dxa"/>
        <w:jc w:val="left"/>
        <w:tblInd w:w="0" w:type="dxa"/>
        <w:tblLayout w:type="fixed"/>
        <w:tblCellMar>
          <w:top w:w="0" w:type="dxa"/>
          <w:left w:w="0" w:type="dxa"/>
          <w:bottom w:w="0" w:type="dxa"/>
          <w:right w:w="0" w:type="dxa"/>
        </w:tblCellMar>
      </w:tblPr>
      <w:tblGrid>
        <w:gridCol w:w="4355"/>
        <w:gridCol w:w="75"/>
      </w:tblGrid>
      <w:tr>
        <w:trPr/>
        <w:tc>
          <w:tcPr>
            <w:tcW w:w="4355" w:type="dxa"/>
            <w:tcBorders/>
            <w:vAlign w:val="center"/>
          </w:tcPr>
          <w:p>
            <w:pPr>
              <w:pStyle w:val="TableContents"/>
              <w:bidi w:val="0"/>
              <w:spacing w:before="0" w:after="283"/>
              <w:jc w:val="left"/>
              <w:rPr/>
            </w:pPr>
            <w:r>
              <w:rPr/>
              <w:t>ADAGE CAPITAL MANAGEMENT, L.P.</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xml:space="preserve">By: </w:t>
            </w:r>
            <w:r>
              <w:rPr>
                <w:spacing w:val="-2"/>
              </w:rPr>
              <w:t xml:space="preserve">Adage Capital Partners, L.L.C.,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spacing w:val="-2"/>
              </w:rPr>
            </w:pPr>
            <w:r>
              <w:rPr>
                <w:spacing w:val="-2"/>
              </w:rPr>
              <w:t>its General Partner</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u w:val="single"/>
              </w:rPr>
            </w:pPr>
            <w:r>
              <w:rPr>
                <w:u w:val="single"/>
              </w:rPr>
              <w:t>/s/ Robert Atchinson</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Name:  Robert Atchinson</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Title: Managing Member</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u w:val="single"/>
              </w:rPr>
            </w:pPr>
            <w:r>
              <w:rPr>
                <w:u w:val="single"/>
              </w:rPr>
              <w:t>/s/ Robert Atchinson</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ROBERT ATCHINSON, individually</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u w:val="single"/>
              </w:rPr>
            </w:pPr>
            <w:r>
              <w:rPr>
                <w:u w:val="single"/>
              </w:rPr>
              <w:t>/s/ Phillip Gross</w:t>
            </w:r>
          </w:p>
        </w:tc>
        <w:tc>
          <w:tcPr>
            <w:tcW w:w="75" w:type="dxa"/>
            <w:tcBorders/>
            <w:vAlign w:val="center"/>
          </w:tcPr>
          <w:p>
            <w:pPr>
              <w:pStyle w:val="TableContents"/>
              <w:bidi w:val="0"/>
              <w:spacing w:before="0" w:after="283"/>
              <w:jc w:val="left"/>
              <w:rPr/>
            </w:pPr>
            <w:r>
              <w:rPr/>
              <w:t> </w:t>
            </w:r>
          </w:p>
        </w:tc>
      </w:tr>
      <w:tr>
        <w:trPr/>
        <w:tc>
          <w:tcPr>
            <w:tcW w:w="4355" w:type="dxa"/>
            <w:tcBorders/>
            <w:vAlign w:val="center"/>
          </w:tcPr>
          <w:p>
            <w:pPr>
              <w:pStyle w:val="TableContents"/>
              <w:bidi w:val="0"/>
              <w:spacing w:before="0" w:after="283"/>
              <w:jc w:val="left"/>
              <w:rPr/>
            </w:pPr>
            <w:r>
              <w:rPr/>
              <w:t>PHILLIP GROSS, individually</w:t>
            </w:r>
          </w:p>
        </w:tc>
        <w:tc>
          <w:tcPr>
            <w:tcW w:w="75" w:type="dxa"/>
            <w:tcBorders/>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1723</Words>
  <Characters>8952</Characters>
  <CharactersWithSpaces>10631</CharactersWithSpaces>
  <Paragraphs>288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