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SAB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Kolchinsky</w:t>
              <w:br/>
              <w:t>RA Capital Management, L.P., 200 Berkeley Street, 18th Floor</w:t>
              <w:br/>
              <w:t>Boston, MA, 02116</w:t>
              <w:br/>
              <w:t>617.778.2500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9,609,852.00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9,609,852.00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9,609,852.00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Peter Kolchinsky </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9,609,852.00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9,609,852.00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9,609,852.00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Rajeev Shah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9,609,852.00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9,609,852.00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9,609,852.00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Healthcare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9,609,852.00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9,609,852.00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9,609,852.00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SAB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W 41st St., Suite 401, Miami Beach, FLORIDA , 33140.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(this "Amendment No. 3" or this "Schedule 13D/A") amends and supplements the statement on Schedule 13D originally filed with the Securities and Exchange Commission (the "SEC") on October 3, 2025 and amended on March 11, 2026 and March 23, 2026 (as amended, the "Statement") by the Reporting Persons. This Amendment No. 3 is being filed to report the change in the number of shares of common stock deemed beneficially owned by the Reporting Persons by virtue of the increase in the Issuer's outstanding common stock and not as a result of any acquisition or disposition of securities by the Reporting Persons. Unless otherwise defined herein, capitalized terms used in this Amendment No. 3 shall have the meanings ascribed to them in the Statement. Unless amended or supplemented below, the information in the Statement remains unchanged.</w:t>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This Schedule 13D/A is being filed on behalf of RA Capital Management, L.P. ("RA Capital"), Peter Kolchinsky, Rajeev Shah, and RA Capital Healthcare Fund, L.P. (the "Fund"). RA Capital, Dr. Kolchinsky, Mr. Shah and the Fund are collectively referred to herein as the "Reporting Persons." The agreement among the Reporting Persons to file this Schedule 13D/A jointly in accordance with Rule 13d-1(k) of the Act is attached hereto as Exhibit 99.1. The Fund directly holds (i) 4,401,500 shares of common stock; (ii) Series B preferred stock ("Preferred Stock") convertible into up to 12,738,500 shares of common stock at a conversion ratio of 100 shares of common stock per share of Preferred Stock; (iii) Preferred Stock purchase warrants (the "Release Date Warrants") exercisable for up to 85,700 shares of Preferred Stock; (iv) Preferred Stock purchase warrants (the "Enrollment Date Warrants" and, together with the Release Date Warrants, the "Preferred Warrants") exercisable for up to 171,400 shares of Preferred Stock; and (v) pre-funded warrants (the "Pre-Funded Warrants") exercisable for up to 2,753,246 shares of common stock. Each of the Preferred Stock and the Pre-Funded Warrants contains a provision (the "Beneficial Ownership Blockers") which precludes conversion of the Preferred Stock and/or exercise of the Pre-Funded Warrants to the extent that, following conversion and/or exercise, the Fund, together with its affiliates and other attribution parties, would own more than 9.99% of the common stock outstanding. The Fund is currently prohibited from converting the Preferred Stock and/or exercising the Pre-Funded Warrants by virtue of the Beneficial Ownership Blockers to the extent that such exercise would result in the Reporting Persons' beneficial ownership of more than 9,609,852 shares of common stock. The Fund may decrease or increase the maximum percentage by written notice to the Issuer from time to time to any other percentage not in excess of 19.99%, provided that any increase in the maximum percentage will not be effective until the sixty-first (61st) day after such notice is delivered to the Issuer.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its portfolio, including the shares of the Issuer's common stock reported herein. Because the Fund has divested itself of voting and investment power over the reported securities it holds and may not revoke that delegation on less than 61 days' notice, the Fund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this Schedule 13D/A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The address of the principal business office of each of the Reporting Persons is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The Fund is a private investment vehicle. RA Capital provides investment management services to the Fund. The principal occupation of each of Dr. Kolchinsky and Mr. Shah is investment management.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 xml:space="preserve">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0"/>
              <w:jc w:val="left"/>
              <w:rPr/>
            </w:pPr>
            <w:r>
              <w:rPr/>
              <w:t>See Item 6 of the cover pages.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Rows 11 and 13 of each Reporting Person's cover page to this Schedule 13D/A set forth the aggregate number of shares of common stock and percentages of the shares of common stock beneficially owned by such Reporting Person and are incorporated by reference. The percentage set forth in each row 13 is based upon 90,986,368 shares of common stock outstanding as of August 3, 2026, as reported in the Issuer's Quarterly Report on Form 10-Q filed with the SEC on August 6, 2026, and giving effect to the Preferred Stock, the Preferred Warrants and the Pre-Funded Warrants, to the extent convertible and/or exercisable within 60 days hereof, as referenced herein. Due to field limitations of the EDGAR filing system, the percentage listed in Row 13 of each of the cover pages has been rounded down to 9.9%.</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Rows 7 through 10 of each Reporting Person's cover page to this Schedule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None of the Reporting Persons has effected any transaction with respect to the securities of the Issuer during the sixty days prior to the date of filing this Schedule 13D/A.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 xml:space="preserve">No person (other than the Reporting Persons) is known to have the right to receive or the power to direct the receipt of dividends from, or the proceeds from the sale of, the securities subject to this Schedule 13D/A.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Exhibit 99.1 Joint Filing Agreement (incorporated by reference to Exhibit 99.1 to the Reporting Persons' Schedule 13D filed with the SEC on October 3, 2025).</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2070</Words>
  <Characters>10631</Characters>
  <CharactersWithSpaces>12581</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